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7AE" w:rsidRDefault="001F77AE" w:rsidP="00BE61B2">
      <w:pPr>
        <w:rPr>
          <w:b/>
        </w:rPr>
      </w:pPr>
    </w:p>
    <w:p w:rsidR="00BE61B2" w:rsidRDefault="00BE61B2" w:rsidP="00BE61B2">
      <w:pPr>
        <w:rPr>
          <w:rFonts w:ascii="Book Antiqua" w:hAnsi="Book Antiqua"/>
          <w:b/>
          <w:sz w:val="28"/>
          <w:szCs w:val="28"/>
        </w:rPr>
      </w:pPr>
      <w:r w:rsidRPr="00A23465">
        <w:rPr>
          <w:rFonts w:ascii="Book Antiqua" w:hAnsi="Book Antiqua"/>
          <w:b/>
          <w:sz w:val="28"/>
          <w:szCs w:val="28"/>
        </w:rPr>
        <w:t xml:space="preserve">Čl. I Všeobecné údaje </w:t>
      </w:r>
    </w:p>
    <w:p w:rsidR="00A23465" w:rsidRPr="00A23465" w:rsidRDefault="00A23465" w:rsidP="00BE61B2">
      <w:pPr>
        <w:rPr>
          <w:rFonts w:ascii="Book Antiqua" w:hAnsi="Book Antiqua"/>
          <w:b/>
          <w:sz w:val="28"/>
          <w:szCs w:val="28"/>
        </w:rPr>
      </w:pPr>
    </w:p>
    <w:p w:rsidR="00BE61B2" w:rsidRPr="00A23465" w:rsidRDefault="00BE61B2" w:rsidP="00A23465">
      <w:pPr>
        <w:pStyle w:val="Odsekzoznamu"/>
        <w:numPr>
          <w:ilvl w:val="0"/>
          <w:numId w:val="5"/>
        </w:numPr>
        <w:rPr>
          <w:rFonts w:ascii="Book Antiqua" w:hAnsi="Book Antiqua"/>
          <w:b/>
        </w:rPr>
      </w:pPr>
      <w:r w:rsidRPr="00A23465">
        <w:rPr>
          <w:rFonts w:ascii="Book Antiqua" w:hAnsi="Book Antiqua"/>
          <w:b/>
        </w:rPr>
        <w:t xml:space="preserve"> Názov spoločnosti  a jej sídlo :  </w:t>
      </w:r>
    </w:p>
    <w:p w:rsidR="00E751B7" w:rsidRPr="009B2293" w:rsidRDefault="00327225" w:rsidP="009B2293">
      <w:pPr>
        <w:spacing w:after="0" w:line="360" w:lineRule="auto"/>
        <w:rPr>
          <w:rFonts w:ascii="Book Antiqua" w:hAnsi="Book Antiqua"/>
          <w:sz w:val="24"/>
          <w:szCs w:val="24"/>
        </w:rPr>
      </w:pPr>
      <w:r>
        <w:rPr>
          <w:rFonts w:ascii="Book Antiqua" w:hAnsi="Book Antiqua"/>
          <w:sz w:val="24"/>
          <w:szCs w:val="24"/>
        </w:rPr>
        <w:t xml:space="preserve">AMA servis s.r.o. </w:t>
      </w:r>
    </w:p>
    <w:p w:rsidR="00E751B7" w:rsidRPr="009B2293" w:rsidRDefault="00B61716" w:rsidP="009B2293">
      <w:pPr>
        <w:spacing w:after="0" w:line="360" w:lineRule="auto"/>
        <w:rPr>
          <w:rFonts w:ascii="Book Antiqua" w:hAnsi="Book Antiqua"/>
          <w:sz w:val="24"/>
          <w:szCs w:val="24"/>
        </w:rPr>
      </w:pPr>
      <w:r>
        <w:rPr>
          <w:rFonts w:ascii="Book Antiqua" w:hAnsi="Book Antiqua"/>
          <w:sz w:val="24"/>
          <w:szCs w:val="24"/>
        </w:rPr>
        <w:t>Bernolákova 6129/27</w:t>
      </w:r>
      <w:r w:rsidR="00327225">
        <w:rPr>
          <w:rFonts w:ascii="Book Antiqua" w:hAnsi="Book Antiqua"/>
          <w:sz w:val="24"/>
          <w:szCs w:val="24"/>
        </w:rPr>
        <w:t>, 974 0</w:t>
      </w:r>
      <w:r>
        <w:rPr>
          <w:rFonts w:ascii="Book Antiqua" w:hAnsi="Book Antiqua"/>
          <w:sz w:val="24"/>
          <w:szCs w:val="24"/>
        </w:rPr>
        <w:t>5</w:t>
      </w:r>
      <w:r w:rsidR="00286635">
        <w:rPr>
          <w:rFonts w:ascii="Book Antiqua" w:hAnsi="Book Antiqua"/>
          <w:sz w:val="24"/>
          <w:szCs w:val="24"/>
        </w:rPr>
        <w:t xml:space="preserve">  Banská Bystrica </w:t>
      </w:r>
    </w:p>
    <w:p w:rsidR="00FF3845" w:rsidRDefault="00FF3845" w:rsidP="005D1C9C">
      <w:pPr>
        <w:rPr>
          <w:rFonts w:ascii="Book Antiqua" w:hAnsi="Book Antiqua"/>
        </w:rPr>
      </w:pPr>
    </w:p>
    <w:p w:rsidR="00A23465" w:rsidRPr="00A23465" w:rsidRDefault="00A23465" w:rsidP="00A23465">
      <w:pPr>
        <w:pStyle w:val="Nadpis2"/>
        <w:numPr>
          <w:ilvl w:val="0"/>
          <w:numId w:val="5"/>
        </w:numPr>
        <w:spacing w:before="0" w:after="0" w:line="240" w:lineRule="auto"/>
        <w:jc w:val="left"/>
        <w:rPr>
          <w:rFonts w:ascii="Book Antiqua" w:hAnsi="Book Antiqua"/>
          <w:i w:val="0"/>
          <w:sz w:val="22"/>
          <w:szCs w:val="22"/>
        </w:rPr>
      </w:pPr>
      <w:r w:rsidRPr="00A23465">
        <w:rPr>
          <w:rFonts w:ascii="Book Antiqua" w:hAnsi="Book Antiqua"/>
          <w:i w:val="0"/>
          <w:sz w:val="22"/>
          <w:szCs w:val="22"/>
        </w:rPr>
        <w:t>Založenie spoločnosti</w:t>
      </w:r>
    </w:p>
    <w:p w:rsidR="00A23465" w:rsidRPr="00A23465" w:rsidRDefault="00A23465" w:rsidP="00A23465">
      <w:pPr>
        <w:pStyle w:val="Zkladntext"/>
        <w:ind w:left="0"/>
        <w:rPr>
          <w:rFonts w:ascii="Book Antiqua" w:hAnsi="Book Antiqua"/>
          <w:sz w:val="22"/>
          <w:szCs w:val="22"/>
        </w:rPr>
      </w:pPr>
      <w:r w:rsidRPr="00A23465">
        <w:rPr>
          <w:rFonts w:ascii="Book Antiqua" w:hAnsi="Book Antiqua"/>
          <w:sz w:val="22"/>
          <w:szCs w:val="22"/>
        </w:rPr>
        <w:t>Spoločnosť</w:t>
      </w:r>
      <w:r w:rsidR="00286635">
        <w:rPr>
          <w:rFonts w:ascii="Book Antiqua" w:hAnsi="Book Antiqua"/>
          <w:sz w:val="22"/>
          <w:szCs w:val="22"/>
        </w:rPr>
        <w:t xml:space="preserve"> </w:t>
      </w:r>
      <w:r w:rsidR="00327225">
        <w:rPr>
          <w:rFonts w:ascii="Book Antiqua" w:hAnsi="Book Antiqua"/>
          <w:sz w:val="22"/>
          <w:szCs w:val="22"/>
        </w:rPr>
        <w:t xml:space="preserve">AMA servis s.r.o. </w:t>
      </w:r>
      <w:r w:rsidRPr="00A23465">
        <w:rPr>
          <w:rFonts w:ascii="Book Antiqua" w:hAnsi="Book Antiqua"/>
          <w:sz w:val="22"/>
          <w:szCs w:val="22"/>
        </w:rPr>
        <w:t xml:space="preserve">(ďalej len Spoločnosť), bola založená </w:t>
      </w:r>
      <w:r w:rsidR="00327225">
        <w:rPr>
          <w:rFonts w:ascii="Book Antiqua" w:hAnsi="Book Antiqua"/>
          <w:sz w:val="22"/>
          <w:szCs w:val="22"/>
        </w:rPr>
        <w:t>14.12.2005</w:t>
      </w:r>
      <w:r w:rsidRPr="00A23465">
        <w:rPr>
          <w:rFonts w:ascii="Book Antiqua" w:hAnsi="Book Antiqua"/>
          <w:sz w:val="22"/>
          <w:szCs w:val="22"/>
        </w:rPr>
        <w:t xml:space="preserve">  a do obchodného registra bola zapísaná </w:t>
      </w:r>
      <w:r w:rsidR="00327225">
        <w:rPr>
          <w:rFonts w:ascii="Book Antiqua" w:hAnsi="Book Antiqua"/>
          <w:sz w:val="22"/>
          <w:szCs w:val="22"/>
        </w:rPr>
        <w:t>14.12.2005</w:t>
      </w:r>
      <w:r w:rsidRPr="00A23465">
        <w:rPr>
          <w:rFonts w:ascii="Book Antiqua" w:hAnsi="Book Antiqua"/>
          <w:sz w:val="22"/>
          <w:szCs w:val="22"/>
        </w:rPr>
        <w:t xml:space="preserve">(Obchodný register Okresného súdu </w:t>
      </w:r>
      <w:r w:rsidR="00286635">
        <w:rPr>
          <w:rFonts w:ascii="Book Antiqua" w:hAnsi="Book Antiqua"/>
          <w:sz w:val="22"/>
          <w:szCs w:val="22"/>
        </w:rPr>
        <w:t>Banská Bystrica</w:t>
      </w:r>
      <w:r w:rsidRPr="00A23465">
        <w:rPr>
          <w:rFonts w:ascii="Book Antiqua" w:hAnsi="Book Antiqua"/>
          <w:sz w:val="22"/>
          <w:szCs w:val="22"/>
        </w:rPr>
        <w:t xml:space="preserve"> oddiel s.r.o., vložka </w:t>
      </w:r>
      <w:r w:rsidR="00F859DD">
        <w:rPr>
          <w:rStyle w:val="apple-converted-space"/>
        </w:rPr>
        <w:t> </w:t>
      </w:r>
      <w:r w:rsidR="00327225">
        <w:rPr>
          <w:rStyle w:val="ra"/>
          <w:rFonts w:ascii="Arial CE" w:hAnsi="Arial CE" w:cs="Arial CE"/>
          <w:bCs/>
          <w:color w:val="000000"/>
          <w:sz w:val="20"/>
        </w:rPr>
        <w:t>11072/S</w:t>
      </w:r>
      <w:r w:rsidRPr="00A23465">
        <w:rPr>
          <w:rFonts w:ascii="Book Antiqua" w:hAnsi="Book Antiqua"/>
          <w:sz w:val="22"/>
          <w:szCs w:val="22"/>
        </w:rPr>
        <w:t xml:space="preserve">). </w:t>
      </w:r>
    </w:p>
    <w:p w:rsidR="00A23465" w:rsidRDefault="00A23465" w:rsidP="005D1C9C">
      <w:pPr>
        <w:rPr>
          <w:rFonts w:ascii="Book Antiqua" w:hAnsi="Book Antiqua"/>
        </w:rPr>
      </w:pPr>
    </w:p>
    <w:p w:rsidR="00A23465" w:rsidRPr="00A23465" w:rsidRDefault="00A23465" w:rsidP="00A23465">
      <w:pPr>
        <w:pStyle w:val="Nadpis2"/>
        <w:numPr>
          <w:ilvl w:val="0"/>
          <w:numId w:val="5"/>
        </w:numPr>
        <w:spacing w:before="0" w:after="0" w:line="240" w:lineRule="auto"/>
        <w:jc w:val="left"/>
        <w:rPr>
          <w:rFonts w:ascii="Book Antiqua" w:hAnsi="Book Antiqua"/>
          <w:i w:val="0"/>
          <w:sz w:val="22"/>
          <w:szCs w:val="22"/>
        </w:rPr>
      </w:pPr>
      <w:r w:rsidRPr="00A23465">
        <w:rPr>
          <w:rFonts w:ascii="Book Antiqua" w:hAnsi="Book Antiqua"/>
          <w:i w:val="0"/>
          <w:sz w:val="22"/>
          <w:szCs w:val="22"/>
        </w:rPr>
        <w:t>Informácie o konsolidovanom celkom</w:t>
      </w:r>
    </w:p>
    <w:p w:rsidR="00A23465" w:rsidRPr="00A23465" w:rsidRDefault="00A23465" w:rsidP="00A23465">
      <w:pPr>
        <w:pStyle w:val="Nadpis2"/>
        <w:spacing w:before="0" w:after="0" w:line="240" w:lineRule="auto"/>
        <w:jc w:val="left"/>
        <w:rPr>
          <w:rFonts w:ascii="Book Antiqua" w:hAnsi="Book Antiqua"/>
          <w:b w:val="0"/>
          <w:i w:val="0"/>
          <w:sz w:val="22"/>
          <w:szCs w:val="22"/>
        </w:rPr>
      </w:pPr>
      <w:r w:rsidRPr="00A23465">
        <w:rPr>
          <w:rFonts w:ascii="Book Antiqua" w:hAnsi="Book Antiqua"/>
          <w:b w:val="0"/>
          <w:i w:val="0"/>
          <w:sz w:val="22"/>
          <w:szCs w:val="22"/>
        </w:rPr>
        <w:t xml:space="preserve">Spoločnosť nie je súčasťou konsolidovaného celku. </w:t>
      </w:r>
    </w:p>
    <w:p w:rsidR="00A23465" w:rsidRPr="00A23465" w:rsidRDefault="00A23465" w:rsidP="00A23465">
      <w:pPr>
        <w:pStyle w:val="Nadpis2"/>
        <w:spacing w:before="0" w:after="0" w:line="240" w:lineRule="auto"/>
        <w:jc w:val="left"/>
        <w:rPr>
          <w:rFonts w:ascii="Book Antiqua" w:hAnsi="Book Antiqua"/>
          <w:i w:val="0"/>
          <w:sz w:val="22"/>
          <w:szCs w:val="22"/>
        </w:rPr>
      </w:pPr>
    </w:p>
    <w:p w:rsidR="00A23465" w:rsidRDefault="00A23465" w:rsidP="005D1C9C">
      <w:pPr>
        <w:rPr>
          <w:rFonts w:ascii="Book Antiqua" w:hAnsi="Book Antiqua"/>
          <w:sz w:val="16"/>
          <w:szCs w:val="16"/>
        </w:rPr>
      </w:pPr>
    </w:p>
    <w:p w:rsidR="00A23465" w:rsidRPr="00A23465" w:rsidRDefault="00A23465" w:rsidP="00A23465">
      <w:pPr>
        <w:pStyle w:val="Nadpis2"/>
        <w:numPr>
          <w:ilvl w:val="0"/>
          <w:numId w:val="5"/>
        </w:numPr>
        <w:spacing w:before="0" w:after="0" w:line="240" w:lineRule="auto"/>
        <w:jc w:val="left"/>
        <w:rPr>
          <w:rFonts w:ascii="Book Antiqua" w:hAnsi="Book Antiqua"/>
          <w:i w:val="0"/>
          <w:sz w:val="22"/>
          <w:szCs w:val="22"/>
        </w:rPr>
      </w:pPr>
      <w:r w:rsidRPr="00A23465">
        <w:rPr>
          <w:rFonts w:ascii="Book Antiqua" w:hAnsi="Book Antiqua"/>
          <w:i w:val="0"/>
          <w:sz w:val="22"/>
          <w:szCs w:val="22"/>
        </w:rPr>
        <w:t xml:space="preserve"> Priemerný prepočítaný počet zamestnancov</w:t>
      </w:r>
    </w:p>
    <w:p w:rsidR="00A23465" w:rsidRPr="009B2293" w:rsidRDefault="00A23465" w:rsidP="00A23465">
      <w:pPr>
        <w:pStyle w:val="Nadpis2"/>
        <w:spacing w:before="0" w:after="0" w:line="240" w:lineRule="auto"/>
        <w:jc w:val="left"/>
        <w:rPr>
          <w:rFonts w:ascii="Book Antiqua" w:hAnsi="Book Antiqua"/>
          <w:b w:val="0"/>
          <w:i w:val="0"/>
          <w:sz w:val="22"/>
          <w:szCs w:val="22"/>
        </w:rPr>
      </w:pPr>
      <w:r w:rsidRPr="00A23465">
        <w:rPr>
          <w:rFonts w:ascii="Book Antiqua" w:hAnsi="Book Antiqua"/>
          <w:b w:val="0"/>
          <w:i w:val="0"/>
          <w:sz w:val="22"/>
          <w:szCs w:val="22"/>
        </w:rPr>
        <w:t>Priemerný prepočítaný počet</w:t>
      </w:r>
      <w:r w:rsidR="009B2293">
        <w:rPr>
          <w:rFonts w:ascii="Book Antiqua" w:hAnsi="Book Antiqua"/>
          <w:b w:val="0"/>
          <w:i w:val="0"/>
          <w:sz w:val="22"/>
          <w:szCs w:val="22"/>
        </w:rPr>
        <w:t xml:space="preserve"> zamestnancov v roku 20</w:t>
      </w:r>
      <w:r w:rsidR="003D7C9C">
        <w:rPr>
          <w:rFonts w:ascii="Book Antiqua" w:hAnsi="Book Antiqua"/>
          <w:b w:val="0"/>
          <w:i w:val="0"/>
          <w:sz w:val="22"/>
          <w:szCs w:val="22"/>
        </w:rPr>
        <w:t>2</w:t>
      </w:r>
      <w:r w:rsidR="00F20FD3">
        <w:rPr>
          <w:rFonts w:ascii="Book Antiqua" w:hAnsi="Book Antiqua"/>
          <w:b w:val="0"/>
          <w:i w:val="0"/>
          <w:sz w:val="22"/>
          <w:szCs w:val="22"/>
          <w:lang w:val="sk-SK"/>
        </w:rPr>
        <w:t>2</w:t>
      </w:r>
      <w:r w:rsidR="003D7C9C">
        <w:rPr>
          <w:rFonts w:ascii="Book Antiqua" w:hAnsi="Book Antiqua"/>
          <w:b w:val="0"/>
          <w:i w:val="0"/>
          <w:sz w:val="22"/>
          <w:szCs w:val="22"/>
        </w:rPr>
        <w:t xml:space="preserve"> </w:t>
      </w:r>
      <w:r w:rsidR="009B2293">
        <w:rPr>
          <w:rFonts w:ascii="Book Antiqua" w:hAnsi="Book Antiqua"/>
          <w:b w:val="0"/>
          <w:i w:val="0"/>
          <w:sz w:val="22"/>
          <w:szCs w:val="22"/>
        </w:rPr>
        <w:t xml:space="preserve">je </w:t>
      </w:r>
      <w:r w:rsidR="00F20FD3">
        <w:rPr>
          <w:rFonts w:ascii="Book Antiqua" w:hAnsi="Book Antiqua"/>
          <w:b w:val="0"/>
          <w:i w:val="0"/>
          <w:sz w:val="22"/>
          <w:szCs w:val="22"/>
        </w:rPr>
        <w:t>2</w:t>
      </w:r>
      <w:r w:rsidR="009B2293">
        <w:rPr>
          <w:rFonts w:ascii="Book Antiqua" w:hAnsi="Book Antiqua"/>
          <w:b w:val="0"/>
          <w:i w:val="0"/>
          <w:sz w:val="22"/>
          <w:szCs w:val="22"/>
        </w:rPr>
        <w:t xml:space="preserve">. </w:t>
      </w:r>
    </w:p>
    <w:p w:rsidR="00A23465" w:rsidRDefault="00A23465" w:rsidP="00F859DD">
      <w:pPr>
        <w:pStyle w:val="Nadpis2"/>
        <w:spacing w:before="0" w:after="0" w:line="240" w:lineRule="auto"/>
        <w:jc w:val="left"/>
        <w:rPr>
          <w:rFonts w:ascii="Book Antiqua" w:hAnsi="Book Antiqua"/>
          <w:sz w:val="16"/>
          <w:szCs w:val="16"/>
        </w:rPr>
      </w:pPr>
      <w:r w:rsidRPr="00A23465">
        <w:rPr>
          <w:rFonts w:ascii="Book Antiqua" w:hAnsi="Book Antiqua"/>
          <w:b w:val="0"/>
          <w:i w:val="0"/>
          <w:sz w:val="22"/>
          <w:szCs w:val="22"/>
        </w:rPr>
        <w:t xml:space="preserve">Účtovná jednotka má uzatvorené pracovnoprávne vzťahy so zamestnancami na základe pracovnej </w:t>
      </w:r>
      <w:r w:rsidR="009B2293">
        <w:rPr>
          <w:rFonts w:ascii="Book Antiqua" w:hAnsi="Book Antiqua"/>
          <w:b w:val="0"/>
          <w:i w:val="0"/>
          <w:sz w:val="22"/>
          <w:szCs w:val="22"/>
        </w:rPr>
        <w:t>zmluvy</w:t>
      </w:r>
      <w:r w:rsidR="00286635">
        <w:rPr>
          <w:rFonts w:ascii="Book Antiqua" w:hAnsi="Book Antiqua"/>
          <w:b w:val="0"/>
          <w:i w:val="0"/>
          <w:sz w:val="22"/>
          <w:szCs w:val="22"/>
        </w:rPr>
        <w:t xml:space="preserve"> a dohody o pracovnej činnosti</w:t>
      </w:r>
      <w:r w:rsidR="00F859DD">
        <w:rPr>
          <w:rFonts w:ascii="Book Antiqua" w:hAnsi="Book Antiqua"/>
          <w:b w:val="0"/>
          <w:i w:val="0"/>
          <w:sz w:val="22"/>
          <w:szCs w:val="22"/>
        </w:rPr>
        <w:t xml:space="preserve">. </w:t>
      </w:r>
    </w:p>
    <w:p w:rsidR="00BE61B2" w:rsidRPr="00A23465" w:rsidRDefault="00BE61B2">
      <w:pPr>
        <w:rPr>
          <w:rFonts w:ascii="Book Antiqua" w:hAnsi="Book Antiqua"/>
        </w:rPr>
      </w:pPr>
    </w:p>
    <w:p w:rsidR="00BE61B2" w:rsidRPr="00A23465" w:rsidRDefault="00BE61B2">
      <w:pPr>
        <w:rPr>
          <w:rFonts w:ascii="Book Antiqua" w:hAnsi="Book Antiqua"/>
          <w:b/>
          <w:sz w:val="28"/>
          <w:szCs w:val="28"/>
        </w:rPr>
      </w:pPr>
      <w:r w:rsidRPr="00A23465">
        <w:rPr>
          <w:rFonts w:ascii="Book Antiqua" w:hAnsi="Book Antiqua"/>
          <w:b/>
          <w:sz w:val="28"/>
          <w:szCs w:val="28"/>
        </w:rPr>
        <w:t xml:space="preserve">Čl. II Informácie o prijatých postupoch </w:t>
      </w:r>
    </w:p>
    <w:p w:rsidR="002E5D8A" w:rsidRPr="002E5D8A" w:rsidRDefault="002E5D8A" w:rsidP="00A7208C">
      <w:pPr>
        <w:pStyle w:val="Nadpis2"/>
        <w:numPr>
          <w:ilvl w:val="0"/>
          <w:numId w:val="9"/>
        </w:numPr>
        <w:spacing w:before="0" w:after="0" w:line="240" w:lineRule="auto"/>
        <w:jc w:val="left"/>
        <w:rPr>
          <w:rFonts w:ascii="Book Antiqua" w:hAnsi="Book Antiqua"/>
          <w:i w:val="0"/>
          <w:sz w:val="22"/>
          <w:szCs w:val="22"/>
        </w:rPr>
      </w:pPr>
      <w:r w:rsidRPr="002E5D8A">
        <w:rPr>
          <w:rFonts w:ascii="Book Antiqua" w:hAnsi="Book Antiqua"/>
          <w:i w:val="0"/>
          <w:sz w:val="22"/>
          <w:szCs w:val="22"/>
        </w:rPr>
        <w:t>Východiská pre zostavenie účtovnej závierky</w:t>
      </w:r>
    </w:p>
    <w:p w:rsidR="00BE61B2" w:rsidRPr="002E5D8A" w:rsidRDefault="00BE61B2" w:rsidP="002E5D8A">
      <w:pPr>
        <w:pStyle w:val="Nadpis2"/>
        <w:spacing w:before="0" w:after="0" w:line="240" w:lineRule="auto"/>
        <w:ind w:left="360"/>
        <w:jc w:val="left"/>
        <w:rPr>
          <w:rFonts w:ascii="Book Antiqua" w:hAnsi="Book Antiqua"/>
          <w:b w:val="0"/>
          <w:i w:val="0"/>
          <w:sz w:val="22"/>
          <w:szCs w:val="22"/>
        </w:rPr>
      </w:pPr>
      <w:r w:rsidRPr="002E5D8A">
        <w:rPr>
          <w:rFonts w:ascii="Book Antiqua" w:hAnsi="Book Antiqua"/>
          <w:b w:val="0"/>
          <w:i w:val="0"/>
          <w:sz w:val="22"/>
          <w:szCs w:val="22"/>
        </w:rPr>
        <w:t xml:space="preserve">účtovná závierka </w:t>
      </w:r>
      <w:r w:rsidR="005D1C9C" w:rsidRPr="002E5D8A">
        <w:rPr>
          <w:rFonts w:ascii="Book Antiqua" w:hAnsi="Book Antiqua"/>
          <w:b w:val="0"/>
          <w:i w:val="0"/>
          <w:sz w:val="22"/>
          <w:szCs w:val="22"/>
        </w:rPr>
        <w:t xml:space="preserve">je </w:t>
      </w:r>
      <w:r w:rsidRPr="002E5D8A">
        <w:rPr>
          <w:rFonts w:ascii="Book Antiqua" w:hAnsi="Book Antiqua"/>
          <w:b w:val="0"/>
          <w:i w:val="0"/>
          <w:sz w:val="22"/>
          <w:szCs w:val="22"/>
        </w:rPr>
        <w:t xml:space="preserve">zostavená za splnenia predpokladu, že účtovná jednotka bude nepretržite pokračovať vo svojej činnosti. </w:t>
      </w:r>
    </w:p>
    <w:p w:rsidR="00E751B7" w:rsidRPr="002E5D8A" w:rsidRDefault="00E751B7" w:rsidP="00E751B7">
      <w:pPr>
        <w:pStyle w:val="Zkladntext"/>
        <w:ind w:left="450"/>
        <w:rPr>
          <w:rFonts w:ascii="Book Antiqua" w:hAnsi="Book Antiqua"/>
          <w:sz w:val="22"/>
          <w:szCs w:val="22"/>
        </w:rPr>
      </w:pPr>
      <w:r w:rsidRPr="002E5D8A">
        <w:rPr>
          <w:rFonts w:ascii="Book Antiqua" w:hAnsi="Book Antiqua"/>
          <w:sz w:val="22"/>
          <w:szCs w:val="22"/>
        </w:rPr>
        <w:t>Účtovné metódy a všeobecné účtovné zásady boli účtovnou jednotkou konzistentne aplikované, okrem:</w:t>
      </w:r>
    </w:p>
    <w:p w:rsidR="00E751B7" w:rsidRPr="002E5D8A" w:rsidRDefault="00E751B7" w:rsidP="00E751B7">
      <w:pPr>
        <w:pStyle w:val="Zkladntext"/>
        <w:ind w:left="450"/>
        <w:rPr>
          <w:rFonts w:ascii="Book Antiqua" w:hAnsi="Book Antiqua"/>
          <w:sz w:val="22"/>
          <w:szCs w:val="22"/>
        </w:rPr>
      </w:pPr>
    </w:p>
    <w:p w:rsidR="00E751B7" w:rsidRPr="002E5D8A" w:rsidRDefault="00E751B7" w:rsidP="00E751B7">
      <w:pPr>
        <w:pStyle w:val="Zkladntext"/>
        <w:numPr>
          <w:ilvl w:val="0"/>
          <w:numId w:val="2"/>
        </w:numPr>
        <w:tabs>
          <w:tab w:val="clear" w:pos="340"/>
          <w:tab w:val="num" w:pos="709"/>
        </w:tabs>
        <w:ind w:left="709" w:hanging="283"/>
        <w:rPr>
          <w:rFonts w:ascii="Book Antiqua" w:hAnsi="Book Antiqua"/>
          <w:sz w:val="22"/>
          <w:szCs w:val="22"/>
        </w:rPr>
      </w:pPr>
      <w:r w:rsidRPr="002E5D8A">
        <w:rPr>
          <w:rFonts w:ascii="Book Antiqua" w:hAnsi="Book Antiqua"/>
          <w:sz w:val="22"/>
          <w:szCs w:val="22"/>
        </w:rPr>
        <w:t>účtovania poistenia majetku určeného na prevádzkovú činnosť a iného poistného súvisiaceho s prevádzkovou činnosťou. Takéto poistenie sa od 1. januára 2011 účtuje na účet 548 – Ostatné náklady na hospodársku činnosť;</w:t>
      </w:r>
    </w:p>
    <w:p w:rsidR="00E751B7" w:rsidRPr="002E5D8A" w:rsidRDefault="00E751B7" w:rsidP="00E751B7">
      <w:pPr>
        <w:pStyle w:val="Zkladntext"/>
        <w:numPr>
          <w:ilvl w:val="0"/>
          <w:numId w:val="2"/>
        </w:numPr>
        <w:tabs>
          <w:tab w:val="clear" w:pos="340"/>
          <w:tab w:val="num" w:pos="709"/>
        </w:tabs>
        <w:ind w:left="709" w:hanging="283"/>
        <w:rPr>
          <w:rFonts w:ascii="Book Antiqua" w:hAnsi="Book Antiqua"/>
          <w:sz w:val="22"/>
          <w:szCs w:val="22"/>
        </w:rPr>
      </w:pPr>
      <w:r w:rsidRPr="002E5D8A">
        <w:rPr>
          <w:rFonts w:ascii="Book Antiqua" w:hAnsi="Book Antiqua"/>
          <w:sz w:val="22"/>
          <w:szCs w:val="22"/>
        </w:rPr>
        <w:t>spôsobu účtovania zákazkovej výroby;</w:t>
      </w:r>
    </w:p>
    <w:p w:rsidR="00E751B7" w:rsidRPr="002E5D8A" w:rsidRDefault="00E751B7" w:rsidP="00E751B7">
      <w:pPr>
        <w:pStyle w:val="Zkladntext"/>
        <w:numPr>
          <w:ilvl w:val="0"/>
          <w:numId w:val="2"/>
        </w:numPr>
        <w:tabs>
          <w:tab w:val="clear" w:pos="340"/>
          <w:tab w:val="num" w:pos="709"/>
        </w:tabs>
        <w:ind w:left="709" w:hanging="283"/>
        <w:rPr>
          <w:rFonts w:ascii="Book Antiqua" w:hAnsi="Book Antiqua"/>
          <w:sz w:val="22"/>
          <w:szCs w:val="22"/>
        </w:rPr>
      </w:pPr>
      <w:r w:rsidRPr="002E5D8A">
        <w:rPr>
          <w:rFonts w:ascii="Book Antiqua" w:hAnsi="Book Antiqua"/>
          <w:sz w:val="22"/>
          <w:szCs w:val="22"/>
        </w:rPr>
        <w:t>účtovania zákazkovej výstavby nehnuteľnosti určenej na predaj (priebežný transfer);</w:t>
      </w:r>
    </w:p>
    <w:p w:rsidR="00E751B7" w:rsidRPr="002E5D8A" w:rsidRDefault="00E751B7" w:rsidP="00E751B7">
      <w:pPr>
        <w:pStyle w:val="Zkladntext"/>
        <w:numPr>
          <w:ilvl w:val="0"/>
          <w:numId w:val="2"/>
        </w:numPr>
        <w:tabs>
          <w:tab w:val="clear" w:pos="340"/>
          <w:tab w:val="num" w:pos="709"/>
        </w:tabs>
        <w:ind w:left="709" w:hanging="283"/>
        <w:rPr>
          <w:rFonts w:ascii="Book Antiqua" w:hAnsi="Book Antiqua"/>
          <w:sz w:val="22"/>
          <w:szCs w:val="22"/>
        </w:rPr>
      </w:pPr>
      <w:r w:rsidRPr="002E5D8A">
        <w:rPr>
          <w:rFonts w:ascii="Book Antiqua" w:hAnsi="Book Antiqua"/>
          <w:sz w:val="22"/>
          <w:szCs w:val="22"/>
        </w:rPr>
        <w:t>účtovania zákazkovej výstavby nehnuteľnosti určenej na predaj - ostatnej (nie priebežný transfer);</w:t>
      </w:r>
    </w:p>
    <w:p w:rsidR="00E751B7" w:rsidRPr="002E5D8A" w:rsidRDefault="00E751B7" w:rsidP="00E751B7">
      <w:pPr>
        <w:pStyle w:val="Zkladntext"/>
        <w:numPr>
          <w:ilvl w:val="0"/>
          <w:numId w:val="2"/>
        </w:numPr>
        <w:tabs>
          <w:tab w:val="clear" w:pos="340"/>
          <w:tab w:val="num" w:pos="709"/>
        </w:tabs>
        <w:ind w:left="709" w:hanging="283"/>
        <w:rPr>
          <w:rFonts w:ascii="Book Antiqua" w:hAnsi="Book Antiqua"/>
          <w:sz w:val="22"/>
          <w:szCs w:val="22"/>
        </w:rPr>
      </w:pPr>
      <w:r w:rsidRPr="002E5D8A">
        <w:rPr>
          <w:rFonts w:ascii="Book Antiqua" w:hAnsi="Book Antiqua"/>
          <w:sz w:val="22"/>
          <w:szCs w:val="22"/>
        </w:rPr>
        <w:t>účtovania obstarania nehnuteľnosti na účelom ďalšieho predaja;</w:t>
      </w:r>
    </w:p>
    <w:p w:rsidR="00E751B7" w:rsidRPr="002E5D8A" w:rsidRDefault="00E751B7" w:rsidP="00E751B7">
      <w:pPr>
        <w:pStyle w:val="Zkladntext"/>
        <w:numPr>
          <w:ilvl w:val="0"/>
          <w:numId w:val="2"/>
        </w:numPr>
        <w:tabs>
          <w:tab w:val="clear" w:pos="340"/>
          <w:tab w:val="num" w:pos="709"/>
        </w:tabs>
        <w:ind w:left="709" w:hanging="283"/>
        <w:rPr>
          <w:rFonts w:ascii="Book Antiqua" w:hAnsi="Book Antiqua"/>
          <w:sz w:val="22"/>
          <w:szCs w:val="22"/>
        </w:rPr>
      </w:pPr>
      <w:r w:rsidRPr="002E5D8A">
        <w:rPr>
          <w:rFonts w:ascii="Book Antiqua" w:hAnsi="Book Antiqua"/>
          <w:sz w:val="22"/>
          <w:szCs w:val="22"/>
        </w:rPr>
        <w:t>účtovania koncesie u koncesionára.</w:t>
      </w:r>
    </w:p>
    <w:p w:rsidR="00E751B7" w:rsidRPr="00A23465" w:rsidRDefault="00E751B7" w:rsidP="00E751B7">
      <w:pPr>
        <w:pStyle w:val="Zkladntext"/>
        <w:ind w:left="709"/>
        <w:rPr>
          <w:rFonts w:ascii="Book Antiqua" w:hAnsi="Book Antiqua"/>
        </w:rPr>
      </w:pPr>
    </w:p>
    <w:p w:rsidR="00E751B7" w:rsidRPr="002E5D8A" w:rsidRDefault="00E751B7" w:rsidP="00E751B7">
      <w:pPr>
        <w:pStyle w:val="Zkladntext"/>
        <w:rPr>
          <w:rFonts w:ascii="Book Antiqua" w:hAnsi="Book Antiqua"/>
          <w:sz w:val="22"/>
          <w:szCs w:val="22"/>
        </w:rPr>
      </w:pPr>
      <w:r w:rsidRPr="002E5D8A">
        <w:rPr>
          <w:rFonts w:ascii="Book Antiqua" w:hAnsi="Book Antiqua"/>
          <w:sz w:val="22"/>
          <w:szCs w:val="22"/>
        </w:rPr>
        <w:t>Uvedené zmeny nemajú vplyv na výsledok hospodárenia vykázaný v predchádzajúcich účtovných obdobiach, keďže sa aplikujú prospektívne na účtovné prípady, ktoré vznikli po 1. januári 2011.</w:t>
      </w:r>
    </w:p>
    <w:p w:rsidR="00E751B7" w:rsidRPr="00A23465" w:rsidRDefault="00E751B7" w:rsidP="00E751B7">
      <w:pPr>
        <w:pStyle w:val="Zkladntext"/>
        <w:rPr>
          <w:rFonts w:ascii="Book Antiqua" w:hAnsi="Book Antiqua"/>
        </w:rPr>
      </w:pPr>
    </w:p>
    <w:p w:rsidR="00E751B7" w:rsidRPr="002E5D8A" w:rsidRDefault="00E751B7" w:rsidP="00E751B7">
      <w:pPr>
        <w:pStyle w:val="Zkladntext"/>
        <w:rPr>
          <w:rFonts w:ascii="Book Antiqua" w:hAnsi="Book Antiqua"/>
          <w:sz w:val="22"/>
          <w:szCs w:val="22"/>
        </w:rPr>
      </w:pPr>
      <w:r w:rsidRPr="002E5D8A">
        <w:rPr>
          <w:rFonts w:ascii="Book Antiqua" w:hAnsi="Book Antiqua"/>
          <w:sz w:val="22"/>
          <w:szCs w:val="22"/>
        </w:rPr>
        <w:t xml:space="preserve">V súvislosti so zmenou účtovania zákazkovej výroby, zákazkovej výstavby nehnuteľnosti a obstarania nehnuteľnosti na účel ďalšieho predaja boli do súvahy a výkazu ziskov a strát doplnené nové účty. </w:t>
      </w:r>
    </w:p>
    <w:p w:rsidR="00E751B7" w:rsidRPr="00A23465" w:rsidRDefault="00E751B7" w:rsidP="00E751B7">
      <w:pPr>
        <w:pStyle w:val="Zkladntext"/>
        <w:ind w:left="0"/>
        <w:rPr>
          <w:rFonts w:ascii="Book Antiqua" w:hAnsi="Book Antiqua"/>
        </w:rPr>
      </w:pPr>
    </w:p>
    <w:p w:rsidR="002E5D8A" w:rsidRDefault="002E5D8A" w:rsidP="002E5D8A">
      <w:pPr>
        <w:pStyle w:val="Zkladntext"/>
      </w:pPr>
    </w:p>
    <w:p w:rsidR="002E5D8A" w:rsidRDefault="002E5D8A" w:rsidP="002E5D8A">
      <w:pPr>
        <w:pStyle w:val="Zkladntext"/>
        <w:ind w:left="0"/>
      </w:pPr>
    </w:p>
    <w:p w:rsidR="00A54AAB" w:rsidRDefault="00A54AAB" w:rsidP="002E5D8A">
      <w:pPr>
        <w:pStyle w:val="Zkladntext"/>
        <w:ind w:left="0"/>
      </w:pPr>
    </w:p>
    <w:p w:rsidR="00F859DD" w:rsidRPr="00A54AAB" w:rsidRDefault="00F859DD" w:rsidP="002E5D8A">
      <w:pPr>
        <w:pStyle w:val="Zkladntext"/>
        <w:ind w:left="0"/>
      </w:pPr>
    </w:p>
    <w:p w:rsidR="002E5D8A" w:rsidRPr="00A7208C" w:rsidRDefault="002E5D8A" w:rsidP="00A7208C">
      <w:pPr>
        <w:pStyle w:val="Pismenka"/>
        <w:numPr>
          <w:ilvl w:val="0"/>
          <w:numId w:val="9"/>
        </w:numPr>
        <w:rPr>
          <w:rFonts w:ascii="Book Antiqua" w:hAnsi="Book Antiqua"/>
          <w:sz w:val="22"/>
          <w:szCs w:val="22"/>
        </w:rPr>
      </w:pPr>
      <w:r w:rsidRPr="00A7208C">
        <w:rPr>
          <w:rFonts w:ascii="Book Antiqua" w:hAnsi="Book Antiqua"/>
          <w:sz w:val="22"/>
          <w:szCs w:val="22"/>
        </w:rPr>
        <w:lastRenderedPageBreak/>
        <w:t>Dlhodobý nehmotný majetok a dlhodobý hmotný majetok</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 xml:space="preserve">Dlhodobý majetok nakupovaný sa oceňuje obstarávacou cenou, ktorá zahŕňa cenu obstarania a náklady súvisiace s obstaraním (clo, prepravu, montáž, poistné a pod.). </w:t>
      </w:r>
    </w:p>
    <w:p w:rsidR="002E5D8A" w:rsidRPr="00A7208C" w:rsidRDefault="002E5D8A" w:rsidP="002E5D8A">
      <w:pPr>
        <w:pStyle w:val="Zkladntext"/>
        <w:rPr>
          <w:rFonts w:ascii="Book Antiqua" w:hAnsi="Book Antiqua"/>
          <w:sz w:val="22"/>
          <w:szCs w:val="22"/>
        </w:rPr>
      </w:pP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Súčasťou obstarávacej ceny dlhodobého hmotného majetku od 1. januára 2003 nie sú úroky z cudzích zdrojov ani realizované kurzové rozdiely, ktoré vznikli do momentu uvedenia dlhodobého majetku do používania.</w:t>
      </w:r>
    </w:p>
    <w:p w:rsidR="002E5D8A" w:rsidRPr="00A7208C" w:rsidRDefault="002E5D8A" w:rsidP="002E5D8A">
      <w:pPr>
        <w:pStyle w:val="Zkladntext"/>
        <w:rPr>
          <w:rFonts w:ascii="Book Antiqua" w:hAnsi="Book Antiqua"/>
          <w:sz w:val="22"/>
          <w:szCs w:val="22"/>
        </w:rPr>
      </w:pP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Súčasťou obstarávacej ceny dlhodobého nehmotného majetku nie sú od 1. júla 2010 úroky z cudzích zdrojov, ktoré vznikli do momentu zaradenia dlhodobého nehmotného majetku do používania.</w:t>
      </w:r>
    </w:p>
    <w:p w:rsidR="002E5D8A" w:rsidRPr="00A7208C" w:rsidRDefault="002E5D8A" w:rsidP="002E5D8A">
      <w:pPr>
        <w:pStyle w:val="Zkladntext"/>
        <w:rPr>
          <w:rFonts w:ascii="Book Antiqua" w:hAnsi="Book Antiqua"/>
          <w:sz w:val="22"/>
          <w:szCs w:val="22"/>
        </w:rPr>
      </w:pP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2E5D8A" w:rsidRPr="00A7208C" w:rsidRDefault="002E5D8A" w:rsidP="002E5D8A">
      <w:pPr>
        <w:pStyle w:val="Zkladntext"/>
        <w:rPr>
          <w:rFonts w:ascii="Book Antiqua" w:hAnsi="Book Antiqua"/>
          <w:sz w:val="22"/>
          <w:szCs w:val="22"/>
        </w:rPr>
      </w:pP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Náklady na výskum sa neaktivujú, účtujú sa do nákladov účtovného obdobia, v ktorom vznikli. Náklady na vývoj sa účtujú do obdobia, v ktorom vznikli, ale tie náklady na vývoj, ktoré sa vzťahujú na jasne definovaný výrobok alebo 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2E5D8A" w:rsidRPr="00A7208C" w:rsidRDefault="002E5D8A" w:rsidP="002E5D8A">
      <w:pPr>
        <w:pStyle w:val="Zkladntext"/>
        <w:rPr>
          <w:rFonts w:ascii="Book Antiqua" w:hAnsi="Book Antiqua"/>
          <w:sz w:val="22"/>
          <w:szCs w:val="22"/>
        </w:rPr>
      </w:pP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Aktivované náklady na vývoj sa odpisujú počas maximálne 5 rokov, a to v tých účtovných obdobiach, v ktorých sa očakáva predaj produktu alebo využívanie procesu. Ak sa zníži ich hodnota, odpisujú sa na sumu, ktorá je pravdepodobná, že sa získa späť z budúcich ekonomických úžitkov.</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 xml:space="preserve"> </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rsidR="002E5D8A" w:rsidRDefault="002E5D8A" w:rsidP="002E5D8A">
      <w:pPr>
        <w:pStyle w:val="Zkladntext"/>
      </w:pPr>
    </w:p>
    <w:p w:rsidR="002E5D8A" w:rsidRDefault="002E5D8A" w:rsidP="002E5D8A">
      <w:pPr>
        <w:pStyle w:val="Zkladntext"/>
      </w:pPr>
    </w:p>
    <w:tbl>
      <w:tblPr>
        <w:tblW w:w="0" w:type="auto"/>
        <w:tblInd w:w="456" w:type="dxa"/>
        <w:tblCellMar>
          <w:left w:w="30" w:type="dxa"/>
          <w:right w:w="30" w:type="dxa"/>
        </w:tblCellMar>
        <w:tblLook w:val="0000" w:firstRow="0" w:lastRow="0" w:firstColumn="0" w:lastColumn="0" w:noHBand="0" w:noVBand="0"/>
      </w:tblPr>
      <w:tblGrid>
        <w:gridCol w:w="2901"/>
        <w:gridCol w:w="417"/>
        <w:gridCol w:w="1551"/>
        <w:gridCol w:w="222"/>
        <w:gridCol w:w="1817"/>
        <w:gridCol w:w="222"/>
        <w:gridCol w:w="1695"/>
      </w:tblGrid>
      <w:tr w:rsidR="002E5D8A" w:rsidRPr="00A7208C" w:rsidTr="00606D22">
        <w:trPr>
          <w:trHeight w:val="250"/>
        </w:trPr>
        <w:tc>
          <w:tcPr>
            <w:tcW w:w="3318" w:type="dxa"/>
            <w:gridSpan w:val="2"/>
          </w:tcPr>
          <w:p w:rsidR="002E5D8A" w:rsidRPr="00A7208C" w:rsidRDefault="002E5D8A" w:rsidP="00606D22">
            <w:pPr>
              <w:pStyle w:val="Tabulka"/>
              <w:rPr>
                <w:rFonts w:ascii="Book Antiqua" w:hAnsi="Book Antiqua"/>
                <w:sz w:val="22"/>
                <w:szCs w:val="22"/>
              </w:rPr>
            </w:pPr>
            <w:r w:rsidRPr="00A7208C">
              <w:rPr>
                <w:rFonts w:ascii="Book Antiqua" w:hAnsi="Book Antiqua"/>
                <w:sz w:val="22"/>
                <w:szCs w:val="22"/>
              </w:rPr>
              <w:br w:type="page"/>
            </w:r>
          </w:p>
        </w:tc>
        <w:tc>
          <w:tcPr>
            <w:tcW w:w="1544"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Predpokladaná</w:t>
            </w:r>
          </w:p>
        </w:tc>
        <w:tc>
          <w:tcPr>
            <w:tcW w:w="222" w:type="dxa"/>
          </w:tcPr>
          <w:p w:rsidR="002E5D8A" w:rsidRPr="00A7208C" w:rsidRDefault="002E5D8A" w:rsidP="00606D22">
            <w:pPr>
              <w:pStyle w:val="Tabulka"/>
              <w:jc w:val="center"/>
              <w:rPr>
                <w:rFonts w:ascii="Book Antiqua" w:hAnsi="Book Antiqua"/>
                <w:sz w:val="22"/>
                <w:szCs w:val="22"/>
              </w:rPr>
            </w:pPr>
          </w:p>
        </w:tc>
        <w:tc>
          <w:tcPr>
            <w:tcW w:w="1817"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Metóda</w:t>
            </w:r>
          </w:p>
        </w:tc>
        <w:tc>
          <w:tcPr>
            <w:tcW w:w="222" w:type="dxa"/>
          </w:tcPr>
          <w:p w:rsidR="002E5D8A" w:rsidRPr="00A7208C" w:rsidRDefault="002E5D8A" w:rsidP="00606D22">
            <w:pPr>
              <w:pStyle w:val="Tabulka"/>
              <w:jc w:val="center"/>
              <w:rPr>
                <w:rFonts w:ascii="Book Antiqua" w:hAnsi="Book Antiqua"/>
                <w:sz w:val="22"/>
                <w:szCs w:val="22"/>
              </w:rPr>
            </w:pPr>
          </w:p>
        </w:tc>
        <w:tc>
          <w:tcPr>
            <w:tcW w:w="1695"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Ročná odpisová</w:t>
            </w:r>
          </w:p>
        </w:tc>
      </w:tr>
      <w:tr w:rsidR="002E5D8A" w:rsidRPr="00A7208C" w:rsidTr="00606D22">
        <w:trPr>
          <w:trHeight w:val="250"/>
        </w:trPr>
        <w:tc>
          <w:tcPr>
            <w:tcW w:w="2901" w:type="dxa"/>
            <w:tcBorders>
              <w:bottom w:val="single" w:sz="4" w:space="0" w:color="auto"/>
            </w:tcBorders>
          </w:tcPr>
          <w:p w:rsidR="002E5D8A" w:rsidRPr="00A7208C" w:rsidRDefault="002E5D8A" w:rsidP="00606D22">
            <w:pPr>
              <w:pStyle w:val="Tabulka"/>
              <w:rPr>
                <w:rFonts w:ascii="Book Antiqua" w:hAnsi="Book Antiqua"/>
                <w:sz w:val="22"/>
                <w:szCs w:val="22"/>
              </w:rPr>
            </w:pPr>
          </w:p>
        </w:tc>
        <w:tc>
          <w:tcPr>
            <w:tcW w:w="417" w:type="dxa"/>
            <w:tcBorders>
              <w:bottom w:val="single" w:sz="4" w:space="0" w:color="auto"/>
            </w:tcBorders>
          </w:tcPr>
          <w:p w:rsidR="002E5D8A" w:rsidRPr="00A7208C" w:rsidRDefault="002E5D8A" w:rsidP="00606D22">
            <w:pPr>
              <w:pStyle w:val="Tabulka"/>
              <w:rPr>
                <w:rFonts w:ascii="Book Antiqua" w:hAnsi="Book Antiqua"/>
                <w:sz w:val="22"/>
                <w:szCs w:val="22"/>
              </w:rPr>
            </w:pPr>
          </w:p>
        </w:tc>
        <w:tc>
          <w:tcPr>
            <w:tcW w:w="1544" w:type="dxa"/>
            <w:tcBorders>
              <w:bottom w:val="single" w:sz="4" w:space="0" w:color="auto"/>
            </w:tcBorders>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doba používania</w:t>
            </w:r>
            <w:r w:rsidRPr="00A7208C">
              <w:rPr>
                <w:rFonts w:ascii="Book Antiqua" w:hAnsi="Book Antiqua"/>
                <w:sz w:val="22"/>
                <w:szCs w:val="22"/>
              </w:rPr>
              <w:br/>
              <w:t>v rokoch</w:t>
            </w:r>
          </w:p>
        </w:tc>
        <w:tc>
          <w:tcPr>
            <w:tcW w:w="222" w:type="dxa"/>
            <w:tcBorders>
              <w:bottom w:val="single" w:sz="4" w:space="0" w:color="auto"/>
            </w:tcBorders>
          </w:tcPr>
          <w:p w:rsidR="002E5D8A" w:rsidRPr="00A7208C" w:rsidRDefault="002E5D8A" w:rsidP="00606D22">
            <w:pPr>
              <w:pStyle w:val="Tabulka"/>
              <w:jc w:val="center"/>
              <w:rPr>
                <w:rFonts w:ascii="Book Antiqua" w:hAnsi="Book Antiqua"/>
                <w:sz w:val="22"/>
                <w:szCs w:val="22"/>
              </w:rPr>
            </w:pPr>
          </w:p>
        </w:tc>
        <w:tc>
          <w:tcPr>
            <w:tcW w:w="1817" w:type="dxa"/>
            <w:tcBorders>
              <w:bottom w:val="single" w:sz="4" w:space="0" w:color="auto"/>
            </w:tcBorders>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odpisovania</w:t>
            </w:r>
          </w:p>
        </w:tc>
        <w:tc>
          <w:tcPr>
            <w:tcW w:w="222" w:type="dxa"/>
            <w:tcBorders>
              <w:bottom w:val="single" w:sz="4" w:space="0" w:color="auto"/>
            </w:tcBorders>
          </w:tcPr>
          <w:p w:rsidR="002E5D8A" w:rsidRPr="00A7208C" w:rsidRDefault="002E5D8A" w:rsidP="00606D22">
            <w:pPr>
              <w:pStyle w:val="Tabulka"/>
              <w:jc w:val="center"/>
              <w:rPr>
                <w:rFonts w:ascii="Book Antiqua" w:hAnsi="Book Antiqua"/>
                <w:sz w:val="22"/>
                <w:szCs w:val="22"/>
              </w:rPr>
            </w:pPr>
          </w:p>
        </w:tc>
        <w:tc>
          <w:tcPr>
            <w:tcW w:w="1695" w:type="dxa"/>
            <w:tcBorders>
              <w:bottom w:val="single" w:sz="4" w:space="0" w:color="auto"/>
            </w:tcBorders>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sadzba v %</w:t>
            </w:r>
          </w:p>
        </w:tc>
      </w:tr>
      <w:tr w:rsidR="002E5D8A" w:rsidRPr="00A7208C" w:rsidTr="00606D22">
        <w:trPr>
          <w:trHeight w:val="250"/>
        </w:trPr>
        <w:tc>
          <w:tcPr>
            <w:tcW w:w="3318" w:type="dxa"/>
            <w:gridSpan w:val="2"/>
          </w:tcPr>
          <w:p w:rsidR="002E5D8A" w:rsidRPr="00A7208C" w:rsidRDefault="002E5D8A" w:rsidP="00606D22">
            <w:pPr>
              <w:pStyle w:val="Tabulka"/>
              <w:rPr>
                <w:rFonts w:ascii="Book Antiqua" w:hAnsi="Book Antiqua"/>
                <w:sz w:val="22"/>
                <w:szCs w:val="22"/>
              </w:rPr>
            </w:pPr>
            <w:r w:rsidRPr="00A7208C">
              <w:rPr>
                <w:rFonts w:ascii="Book Antiqua" w:hAnsi="Book Antiqua"/>
                <w:sz w:val="22"/>
                <w:szCs w:val="22"/>
              </w:rPr>
              <w:t>Aktivované náklady na vývoj</w:t>
            </w:r>
          </w:p>
        </w:tc>
        <w:tc>
          <w:tcPr>
            <w:tcW w:w="1544"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5</w:t>
            </w:r>
          </w:p>
        </w:tc>
        <w:tc>
          <w:tcPr>
            <w:tcW w:w="222" w:type="dxa"/>
          </w:tcPr>
          <w:p w:rsidR="002E5D8A" w:rsidRPr="00A7208C" w:rsidRDefault="002E5D8A" w:rsidP="00606D22">
            <w:pPr>
              <w:pStyle w:val="Tabulka"/>
              <w:jc w:val="center"/>
              <w:rPr>
                <w:rFonts w:ascii="Book Antiqua" w:hAnsi="Book Antiqua"/>
                <w:sz w:val="22"/>
                <w:szCs w:val="22"/>
              </w:rPr>
            </w:pPr>
          </w:p>
        </w:tc>
        <w:tc>
          <w:tcPr>
            <w:tcW w:w="1817"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lineárna</w:t>
            </w:r>
          </w:p>
        </w:tc>
        <w:tc>
          <w:tcPr>
            <w:tcW w:w="222" w:type="dxa"/>
          </w:tcPr>
          <w:p w:rsidR="002E5D8A" w:rsidRPr="00A7208C" w:rsidRDefault="002E5D8A" w:rsidP="00606D22">
            <w:pPr>
              <w:pStyle w:val="Tabulka"/>
              <w:jc w:val="center"/>
              <w:rPr>
                <w:rFonts w:ascii="Book Antiqua" w:hAnsi="Book Antiqua"/>
                <w:sz w:val="22"/>
                <w:szCs w:val="22"/>
              </w:rPr>
            </w:pPr>
          </w:p>
        </w:tc>
        <w:tc>
          <w:tcPr>
            <w:tcW w:w="1695"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20</w:t>
            </w:r>
          </w:p>
        </w:tc>
      </w:tr>
      <w:tr w:rsidR="002E5D8A" w:rsidRPr="00A7208C" w:rsidTr="00606D22">
        <w:trPr>
          <w:trHeight w:val="250"/>
        </w:trPr>
        <w:tc>
          <w:tcPr>
            <w:tcW w:w="3318" w:type="dxa"/>
            <w:gridSpan w:val="2"/>
          </w:tcPr>
          <w:p w:rsidR="002E5D8A" w:rsidRPr="00A7208C" w:rsidRDefault="002E5D8A" w:rsidP="00606D22">
            <w:pPr>
              <w:pStyle w:val="Tabulka"/>
              <w:rPr>
                <w:rFonts w:ascii="Book Antiqua" w:hAnsi="Book Antiqua"/>
                <w:sz w:val="22"/>
                <w:szCs w:val="22"/>
              </w:rPr>
            </w:pPr>
            <w:r w:rsidRPr="00A7208C">
              <w:rPr>
                <w:rFonts w:ascii="Book Antiqua" w:hAnsi="Book Antiqua"/>
                <w:sz w:val="22"/>
                <w:szCs w:val="22"/>
              </w:rPr>
              <w:t>Softvér</w:t>
            </w:r>
          </w:p>
        </w:tc>
        <w:tc>
          <w:tcPr>
            <w:tcW w:w="1544"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4</w:t>
            </w:r>
          </w:p>
        </w:tc>
        <w:tc>
          <w:tcPr>
            <w:tcW w:w="222" w:type="dxa"/>
          </w:tcPr>
          <w:p w:rsidR="002E5D8A" w:rsidRPr="00A7208C" w:rsidRDefault="002E5D8A" w:rsidP="00606D22">
            <w:pPr>
              <w:pStyle w:val="Tabulka"/>
              <w:jc w:val="center"/>
              <w:rPr>
                <w:rFonts w:ascii="Book Antiqua" w:hAnsi="Book Antiqua"/>
                <w:sz w:val="22"/>
                <w:szCs w:val="22"/>
              </w:rPr>
            </w:pPr>
          </w:p>
        </w:tc>
        <w:tc>
          <w:tcPr>
            <w:tcW w:w="1817"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lineárna</w:t>
            </w:r>
          </w:p>
        </w:tc>
        <w:tc>
          <w:tcPr>
            <w:tcW w:w="222" w:type="dxa"/>
          </w:tcPr>
          <w:p w:rsidR="002E5D8A" w:rsidRPr="00A7208C" w:rsidRDefault="002E5D8A" w:rsidP="00606D22">
            <w:pPr>
              <w:pStyle w:val="Tabulka"/>
              <w:jc w:val="center"/>
              <w:rPr>
                <w:rFonts w:ascii="Book Antiqua" w:hAnsi="Book Antiqua"/>
                <w:sz w:val="22"/>
                <w:szCs w:val="22"/>
              </w:rPr>
            </w:pPr>
          </w:p>
        </w:tc>
        <w:tc>
          <w:tcPr>
            <w:tcW w:w="1695"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25</w:t>
            </w:r>
          </w:p>
        </w:tc>
      </w:tr>
      <w:tr w:rsidR="002E5D8A" w:rsidRPr="00A7208C" w:rsidTr="00606D22">
        <w:tblPrEx>
          <w:tblCellMar>
            <w:left w:w="108" w:type="dxa"/>
            <w:right w:w="108" w:type="dxa"/>
          </w:tblCellMar>
        </w:tblPrEx>
        <w:trPr>
          <w:trHeight w:val="245"/>
        </w:trPr>
        <w:tc>
          <w:tcPr>
            <w:tcW w:w="3318" w:type="dxa"/>
            <w:gridSpan w:val="2"/>
          </w:tcPr>
          <w:p w:rsidR="002E5D8A" w:rsidRPr="00A7208C" w:rsidRDefault="002E5D8A" w:rsidP="00606D22">
            <w:pPr>
              <w:pStyle w:val="Tabulka"/>
              <w:ind w:hanging="84"/>
              <w:rPr>
                <w:rFonts w:ascii="Book Antiqua" w:hAnsi="Book Antiqua"/>
                <w:sz w:val="22"/>
                <w:szCs w:val="22"/>
              </w:rPr>
            </w:pPr>
            <w:r w:rsidRPr="00A7208C">
              <w:rPr>
                <w:rFonts w:ascii="Book Antiqua" w:hAnsi="Book Antiqua"/>
                <w:sz w:val="22"/>
                <w:szCs w:val="22"/>
              </w:rPr>
              <w:t>Oceniteľné práva (licencia)</w:t>
            </w:r>
          </w:p>
        </w:tc>
        <w:tc>
          <w:tcPr>
            <w:tcW w:w="1544"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8</w:t>
            </w:r>
          </w:p>
        </w:tc>
        <w:tc>
          <w:tcPr>
            <w:tcW w:w="222" w:type="dxa"/>
          </w:tcPr>
          <w:p w:rsidR="002E5D8A" w:rsidRPr="00A7208C" w:rsidRDefault="002E5D8A" w:rsidP="00606D22">
            <w:pPr>
              <w:pStyle w:val="Tabulka"/>
              <w:jc w:val="center"/>
              <w:rPr>
                <w:rFonts w:ascii="Book Antiqua" w:hAnsi="Book Antiqua"/>
                <w:sz w:val="22"/>
                <w:szCs w:val="22"/>
              </w:rPr>
            </w:pPr>
          </w:p>
        </w:tc>
        <w:tc>
          <w:tcPr>
            <w:tcW w:w="1817"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lineárna</w:t>
            </w:r>
          </w:p>
        </w:tc>
        <w:tc>
          <w:tcPr>
            <w:tcW w:w="222" w:type="dxa"/>
          </w:tcPr>
          <w:p w:rsidR="002E5D8A" w:rsidRPr="00A7208C" w:rsidRDefault="002E5D8A" w:rsidP="00606D22">
            <w:pPr>
              <w:pStyle w:val="Tabulka"/>
              <w:jc w:val="center"/>
              <w:rPr>
                <w:rFonts w:ascii="Book Antiqua" w:hAnsi="Book Antiqua"/>
                <w:sz w:val="22"/>
                <w:szCs w:val="22"/>
              </w:rPr>
            </w:pPr>
          </w:p>
        </w:tc>
        <w:tc>
          <w:tcPr>
            <w:tcW w:w="1695"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12,5</w:t>
            </w:r>
          </w:p>
        </w:tc>
      </w:tr>
      <w:tr w:rsidR="002E5D8A" w:rsidRPr="00A7208C" w:rsidTr="00606D22">
        <w:tblPrEx>
          <w:tblCellMar>
            <w:left w:w="108" w:type="dxa"/>
            <w:right w:w="108" w:type="dxa"/>
          </w:tblCellMar>
        </w:tblPrEx>
        <w:trPr>
          <w:trHeight w:val="245"/>
        </w:trPr>
        <w:tc>
          <w:tcPr>
            <w:tcW w:w="3318" w:type="dxa"/>
            <w:gridSpan w:val="2"/>
          </w:tcPr>
          <w:p w:rsidR="002E5D8A" w:rsidRPr="00A7208C" w:rsidRDefault="002E5D8A" w:rsidP="00606D22">
            <w:pPr>
              <w:pStyle w:val="Tabulka"/>
              <w:ind w:hanging="84"/>
              <w:rPr>
                <w:rFonts w:ascii="Book Antiqua" w:hAnsi="Book Antiqua"/>
                <w:sz w:val="22"/>
                <w:szCs w:val="22"/>
              </w:rPr>
            </w:pPr>
            <w:r w:rsidRPr="00A7208C">
              <w:rPr>
                <w:rFonts w:ascii="Book Antiqua" w:hAnsi="Book Antiqua"/>
                <w:sz w:val="22"/>
                <w:szCs w:val="22"/>
              </w:rPr>
              <w:t>Drobný dlhodobý nehmotný majetok</w:t>
            </w:r>
          </w:p>
        </w:tc>
        <w:tc>
          <w:tcPr>
            <w:tcW w:w="1544"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rôzna</w:t>
            </w:r>
          </w:p>
        </w:tc>
        <w:tc>
          <w:tcPr>
            <w:tcW w:w="222" w:type="dxa"/>
          </w:tcPr>
          <w:p w:rsidR="002E5D8A" w:rsidRPr="00A7208C" w:rsidRDefault="002E5D8A" w:rsidP="00606D22">
            <w:pPr>
              <w:pStyle w:val="Tabulka"/>
              <w:jc w:val="center"/>
              <w:rPr>
                <w:rFonts w:ascii="Book Antiqua" w:hAnsi="Book Antiqua"/>
                <w:sz w:val="22"/>
                <w:szCs w:val="22"/>
              </w:rPr>
            </w:pPr>
          </w:p>
        </w:tc>
        <w:tc>
          <w:tcPr>
            <w:tcW w:w="1817"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jednorazový odpis</w:t>
            </w:r>
          </w:p>
        </w:tc>
        <w:tc>
          <w:tcPr>
            <w:tcW w:w="222" w:type="dxa"/>
          </w:tcPr>
          <w:p w:rsidR="002E5D8A" w:rsidRPr="00A7208C" w:rsidRDefault="002E5D8A" w:rsidP="00606D22">
            <w:pPr>
              <w:pStyle w:val="Tabulka"/>
              <w:jc w:val="center"/>
              <w:rPr>
                <w:rFonts w:ascii="Book Antiqua" w:hAnsi="Book Antiqua"/>
                <w:sz w:val="22"/>
                <w:szCs w:val="22"/>
              </w:rPr>
            </w:pPr>
          </w:p>
        </w:tc>
        <w:tc>
          <w:tcPr>
            <w:tcW w:w="1695"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100</w:t>
            </w:r>
          </w:p>
        </w:tc>
      </w:tr>
    </w:tbl>
    <w:p w:rsidR="002E5D8A" w:rsidRPr="00A7208C" w:rsidRDefault="002E5D8A" w:rsidP="002E5D8A">
      <w:pPr>
        <w:pStyle w:val="Zkladntext"/>
        <w:rPr>
          <w:rFonts w:ascii="Book Antiqua" w:hAnsi="Book Antiqua"/>
          <w:sz w:val="22"/>
          <w:szCs w:val="22"/>
        </w:rPr>
      </w:pP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rsidR="002E5D8A" w:rsidRDefault="002E5D8A" w:rsidP="002E5D8A">
      <w:pPr>
        <w:pStyle w:val="Zkladntext"/>
        <w:rPr>
          <w:rFonts w:ascii="Book Antiqua" w:hAnsi="Book Antiqua"/>
          <w:sz w:val="22"/>
          <w:szCs w:val="22"/>
        </w:rPr>
      </w:pPr>
    </w:p>
    <w:p w:rsidR="00F859DD" w:rsidRDefault="00F859DD" w:rsidP="002E5D8A">
      <w:pPr>
        <w:pStyle w:val="Zkladntext"/>
        <w:rPr>
          <w:rFonts w:ascii="Book Antiqua" w:hAnsi="Book Antiqua"/>
          <w:sz w:val="22"/>
          <w:szCs w:val="22"/>
        </w:rPr>
      </w:pPr>
    </w:p>
    <w:p w:rsidR="00F859DD" w:rsidRDefault="00F859DD" w:rsidP="002E5D8A">
      <w:pPr>
        <w:pStyle w:val="Zkladntext"/>
        <w:rPr>
          <w:rFonts w:ascii="Book Antiqua" w:hAnsi="Book Antiqua"/>
          <w:sz w:val="22"/>
          <w:szCs w:val="22"/>
        </w:rPr>
      </w:pPr>
    </w:p>
    <w:p w:rsidR="00F859DD" w:rsidRDefault="00F859DD" w:rsidP="002E5D8A">
      <w:pPr>
        <w:pStyle w:val="Zkladntext"/>
        <w:rPr>
          <w:rFonts w:ascii="Book Antiqua" w:hAnsi="Book Antiqua"/>
          <w:sz w:val="22"/>
          <w:szCs w:val="22"/>
        </w:rPr>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2E5D8A" w:rsidRPr="00A7208C" w:rsidTr="00606D22">
        <w:trPr>
          <w:trHeight w:val="250"/>
        </w:trPr>
        <w:tc>
          <w:tcPr>
            <w:tcW w:w="3118" w:type="dxa"/>
            <w:gridSpan w:val="2"/>
          </w:tcPr>
          <w:p w:rsidR="002E5D8A" w:rsidRPr="00A7208C" w:rsidRDefault="002E5D8A" w:rsidP="00606D22">
            <w:pPr>
              <w:pStyle w:val="Tabulka"/>
              <w:rPr>
                <w:rFonts w:ascii="Book Antiqua" w:hAnsi="Book Antiqua"/>
                <w:sz w:val="22"/>
                <w:szCs w:val="22"/>
              </w:rPr>
            </w:pPr>
          </w:p>
        </w:tc>
        <w:tc>
          <w:tcPr>
            <w:tcW w:w="1985"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Predpokladaná</w:t>
            </w:r>
          </w:p>
        </w:tc>
        <w:tc>
          <w:tcPr>
            <w:tcW w:w="141" w:type="dxa"/>
          </w:tcPr>
          <w:p w:rsidR="002E5D8A" w:rsidRPr="00A7208C" w:rsidRDefault="002E5D8A" w:rsidP="00606D22">
            <w:pPr>
              <w:pStyle w:val="Tabulka"/>
              <w:jc w:val="center"/>
              <w:rPr>
                <w:rFonts w:ascii="Book Antiqua" w:hAnsi="Book Antiqua"/>
                <w:sz w:val="22"/>
                <w:szCs w:val="22"/>
              </w:rPr>
            </w:pPr>
          </w:p>
        </w:tc>
        <w:tc>
          <w:tcPr>
            <w:tcW w:w="1701"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Metóda</w:t>
            </w:r>
          </w:p>
        </w:tc>
        <w:tc>
          <w:tcPr>
            <w:tcW w:w="142" w:type="dxa"/>
          </w:tcPr>
          <w:p w:rsidR="002E5D8A" w:rsidRPr="00A7208C" w:rsidRDefault="002E5D8A" w:rsidP="00606D22">
            <w:pPr>
              <w:pStyle w:val="Tabulka"/>
              <w:jc w:val="center"/>
              <w:rPr>
                <w:rFonts w:ascii="Book Antiqua" w:hAnsi="Book Antiqua"/>
                <w:sz w:val="22"/>
                <w:szCs w:val="22"/>
              </w:rPr>
            </w:pPr>
          </w:p>
        </w:tc>
        <w:tc>
          <w:tcPr>
            <w:tcW w:w="1701"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Ročná odpisová</w:t>
            </w:r>
          </w:p>
        </w:tc>
      </w:tr>
      <w:tr w:rsidR="002E5D8A" w:rsidRPr="00A7208C" w:rsidTr="00606D22">
        <w:trPr>
          <w:trHeight w:val="250"/>
        </w:trPr>
        <w:tc>
          <w:tcPr>
            <w:tcW w:w="2976" w:type="dxa"/>
            <w:tcBorders>
              <w:bottom w:val="single" w:sz="4" w:space="0" w:color="auto"/>
            </w:tcBorders>
          </w:tcPr>
          <w:p w:rsidR="002E5D8A" w:rsidRPr="00A7208C" w:rsidRDefault="002E5D8A" w:rsidP="00606D22">
            <w:pPr>
              <w:pStyle w:val="Tabulka"/>
              <w:rPr>
                <w:rFonts w:ascii="Book Antiqua" w:hAnsi="Book Antiqua"/>
                <w:sz w:val="22"/>
                <w:szCs w:val="22"/>
              </w:rPr>
            </w:pPr>
          </w:p>
        </w:tc>
        <w:tc>
          <w:tcPr>
            <w:tcW w:w="142" w:type="dxa"/>
            <w:tcBorders>
              <w:bottom w:val="single" w:sz="4" w:space="0" w:color="auto"/>
            </w:tcBorders>
          </w:tcPr>
          <w:p w:rsidR="002E5D8A" w:rsidRPr="00A7208C" w:rsidRDefault="002E5D8A" w:rsidP="00606D22">
            <w:pPr>
              <w:pStyle w:val="Tabulka"/>
              <w:rPr>
                <w:rFonts w:ascii="Book Antiqua" w:hAnsi="Book Antiqua"/>
                <w:sz w:val="22"/>
                <w:szCs w:val="22"/>
              </w:rPr>
            </w:pPr>
          </w:p>
        </w:tc>
        <w:tc>
          <w:tcPr>
            <w:tcW w:w="1985" w:type="dxa"/>
            <w:tcBorders>
              <w:bottom w:val="single" w:sz="4" w:space="0" w:color="auto"/>
            </w:tcBorders>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doba používania v rokoch</w:t>
            </w:r>
          </w:p>
        </w:tc>
        <w:tc>
          <w:tcPr>
            <w:tcW w:w="141" w:type="dxa"/>
            <w:tcBorders>
              <w:bottom w:val="single" w:sz="4" w:space="0" w:color="auto"/>
            </w:tcBorders>
          </w:tcPr>
          <w:p w:rsidR="002E5D8A" w:rsidRPr="00A7208C" w:rsidRDefault="002E5D8A" w:rsidP="00606D22">
            <w:pPr>
              <w:pStyle w:val="Tabulka"/>
              <w:jc w:val="center"/>
              <w:rPr>
                <w:rFonts w:ascii="Book Antiqua" w:hAnsi="Book Antiqua"/>
                <w:sz w:val="22"/>
                <w:szCs w:val="22"/>
              </w:rPr>
            </w:pPr>
          </w:p>
        </w:tc>
        <w:tc>
          <w:tcPr>
            <w:tcW w:w="1701" w:type="dxa"/>
            <w:tcBorders>
              <w:bottom w:val="single" w:sz="4" w:space="0" w:color="auto"/>
            </w:tcBorders>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odpisovania</w:t>
            </w:r>
          </w:p>
        </w:tc>
        <w:tc>
          <w:tcPr>
            <w:tcW w:w="142" w:type="dxa"/>
            <w:tcBorders>
              <w:bottom w:val="single" w:sz="4" w:space="0" w:color="auto"/>
            </w:tcBorders>
          </w:tcPr>
          <w:p w:rsidR="002E5D8A" w:rsidRPr="00A7208C" w:rsidRDefault="002E5D8A" w:rsidP="00606D22">
            <w:pPr>
              <w:pStyle w:val="Tabulka"/>
              <w:jc w:val="center"/>
              <w:rPr>
                <w:rFonts w:ascii="Book Antiqua" w:hAnsi="Book Antiqua"/>
                <w:sz w:val="22"/>
                <w:szCs w:val="22"/>
              </w:rPr>
            </w:pPr>
          </w:p>
        </w:tc>
        <w:tc>
          <w:tcPr>
            <w:tcW w:w="1701" w:type="dxa"/>
            <w:tcBorders>
              <w:bottom w:val="single" w:sz="4" w:space="0" w:color="auto"/>
            </w:tcBorders>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sadzba v %</w:t>
            </w:r>
          </w:p>
        </w:tc>
      </w:tr>
      <w:tr w:rsidR="002E5D8A" w:rsidRPr="00A7208C" w:rsidTr="00606D22">
        <w:trPr>
          <w:trHeight w:val="250"/>
        </w:trPr>
        <w:tc>
          <w:tcPr>
            <w:tcW w:w="3118" w:type="dxa"/>
            <w:gridSpan w:val="2"/>
            <w:tcBorders>
              <w:top w:val="single" w:sz="4" w:space="0" w:color="auto"/>
            </w:tcBorders>
          </w:tcPr>
          <w:p w:rsidR="002E5D8A" w:rsidRPr="00A7208C" w:rsidRDefault="002E5D8A" w:rsidP="00606D22">
            <w:pPr>
              <w:pStyle w:val="Tabulka"/>
              <w:rPr>
                <w:rFonts w:ascii="Book Antiqua" w:hAnsi="Book Antiqua"/>
                <w:sz w:val="22"/>
                <w:szCs w:val="22"/>
              </w:rPr>
            </w:pPr>
            <w:r w:rsidRPr="00A7208C">
              <w:rPr>
                <w:rFonts w:ascii="Book Antiqua" w:hAnsi="Book Antiqua"/>
                <w:sz w:val="22"/>
                <w:szCs w:val="22"/>
              </w:rPr>
              <w:t>Stavby</w:t>
            </w:r>
          </w:p>
        </w:tc>
        <w:tc>
          <w:tcPr>
            <w:tcW w:w="1985" w:type="dxa"/>
            <w:tcBorders>
              <w:top w:val="single" w:sz="4" w:space="0" w:color="auto"/>
            </w:tcBorders>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40</w:t>
            </w:r>
          </w:p>
        </w:tc>
        <w:tc>
          <w:tcPr>
            <w:tcW w:w="141" w:type="dxa"/>
            <w:tcBorders>
              <w:top w:val="single" w:sz="4" w:space="0" w:color="auto"/>
            </w:tcBorders>
          </w:tcPr>
          <w:p w:rsidR="002E5D8A" w:rsidRPr="00A7208C" w:rsidRDefault="002E5D8A" w:rsidP="00606D22">
            <w:pPr>
              <w:pStyle w:val="Tabulka"/>
              <w:jc w:val="center"/>
              <w:rPr>
                <w:rFonts w:ascii="Book Antiqua" w:hAnsi="Book Antiqua"/>
                <w:sz w:val="22"/>
                <w:szCs w:val="22"/>
              </w:rPr>
            </w:pPr>
          </w:p>
        </w:tc>
        <w:tc>
          <w:tcPr>
            <w:tcW w:w="1701" w:type="dxa"/>
            <w:tcBorders>
              <w:top w:val="single" w:sz="4" w:space="0" w:color="auto"/>
            </w:tcBorders>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lineárna</w:t>
            </w:r>
          </w:p>
        </w:tc>
        <w:tc>
          <w:tcPr>
            <w:tcW w:w="142" w:type="dxa"/>
            <w:tcBorders>
              <w:top w:val="single" w:sz="4" w:space="0" w:color="auto"/>
            </w:tcBorders>
          </w:tcPr>
          <w:p w:rsidR="002E5D8A" w:rsidRPr="00A7208C" w:rsidRDefault="002E5D8A" w:rsidP="00606D22">
            <w:pPr>
              <w:pStyle w:val="Tabulka"/>
              <w:jc w:val="center"/>
              <w:rPr>
                <w:rFonts w:ascii="Book Antiqua" w:hAnsi="Book Antiqua"/>
                <w:sz w:val="22"/>
                <w:szCs w:val="22"/>
              </w:rPr>
            </w:pPr>
          </w:p>
        </w:tc>
        <w:tc>
          <w:tcPr>
            <w:tcW w:w="1701" w:type="dxa"/>
            <w:tcBorders>
              <w:top w:val="single" w:sz="4" w:space="0" w:color="auto"/>
            </w:tcBorders>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2,5</w:t>
            </w:r>
          </w:p>
        </w:tc>
      </w:tr>
      <w:tr w:rsidR="002E5D8A" w:rsidRPr="00A7208C" w:rsidTr="00606D22">
        <w:trPr>
          <w:trHeight w:val="250"/>
        </w:trPr>
        <w:tc>
          <w:tcPr>
            <w:tcW w:w="3118" w:type="dxa"/>
            <w:gridSpan w:val="2"/>
          </w:tcPr>
          <w:p w:rsidR="002E5D8A" w:rsidRPr="00A7208C" w:rsidRDefault="002E5D8A" w:rsidP="00606D22">
            <w:pPr>
              <w:pStyle w:val="Tabulka"/>
              <w:rPr>
                <w:rFonts w:ascii="Book Antiqua" w:hAnsi="Book Antiqua"/>
                <w:sz w:val="22"/>
                <w:szCs w:val="22"/>
              </w:rPr>
            </w:pPr>
            <w:r w:rsidRPr="00A7208C">
              <w:rPr>
                <w:rFonts w:ascii="Book Antiqua" w:hAnsi="Book Antiqua"/>
                <w:sz w:val="22"/>
                <w:szCs w:val="22"/>
              </w:rPr>
              <w:t>Stroje, prístroje a zariadenia</w:t>
            </w:r>
          </w:p>
        </w:tc>
        <w:tc>
          <w:tcPr>
            <w:tcW w:w="1985"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8 až 12</w:t>
            </w:r>
          </w:p>
        </w:tc>
        <w:tc>
          <w:tcPr>
            <w:tcW w:w="141" w:type="dxa"/>
          </w:tcPr>
          <w:p w:rsidR="002E5D8A" w:rsidRPr="00A7208C" w:rsidRDefault="002E5D8A" w:rsidP="00606D22">
            <w:pPr>
              <w:pStyle w:val="Tabulka"/>
              <w:jc w:val="center"/>
              <w:rPr>
                <w:rFonts w:ascii="Book Antiqua" w:hAnsi="Book Antiqua"/>
                <w:sz w:val="22"/>
                <w:szCs w:val="22"/>
              </w:rPr>
            </w:pPr>
          </w:p>
        </w:tc>
        <w:tc>
          <w:tcPr>
            <w:tcW w:w="1701"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lineárna</w:t>
            </w:r>
          </w:p>
        </w:tc>
        <w:tc>
          <w:tcPr>
            <w:tcW w:w="142" w:type="dxa"/>
          </w:tcPr>
          <w:p w:rsidR="002E5D8A" w:rsidRPr="00A7208C" w:rsidRDefault="002E5D8A" w:rsidP="00606D22">
            <w:pPr>
              <w:pStyle w:val="Tabulka"/>
              <w:jc w:val="center"/>
              <w:rPr>
                <w:rFonts w:ascii="Book Antiqua" w:hAnsi="Book Antiqua"/>
                <w:sz w:val="22"/>
                <w:szCs w:val="22"/>
              </w:rPr>
            </w:pPr>
          </w:p>
        </w:tc>
        <w:tc>
          <w:tcPr>
            <w:tcW w:w="1701"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8,3 až 12,5</w:t>
            </w:r>
          </w:p>
        </w:tc>
      </w:tr>
      <w:tr w:rsidR="002E5D8A" w:rsidRPr="00A7208C" w:rsidTr="00606D22">
        <w:trPr>
          <w:trHeight w:val="250"/>
        </w:trPr>
        <w:tc>
          <w:tcPr>
            <w:tcW w:w="3118" w:type="dxa"/>
            <w:gridSpan w:val="2"/>
          </w:tcPr>
          <w:p w:rsidR="002E5D8A" w:rsidRPr="00A7208C" w:rsidRDefault="002E5D8A" w:rsidP="00606D22">
            <w:pPr>
              <w:pStyle w:val="Tabulka"/>
              <w:rPr>
                <w:rFonts w:ascii="Book Antiqua" w:hAnsi="Book Antiqua"/>
                <w:sz w:val="22"/>
                <w:szCs w:val="22"/>
              </w:rPr>
            </w:pPr>
            <w:r w:rsidRPr="00A7208C">
              <w:rPr>
                <w:rFonts w:ascii="Book Antiqua" w:hAnsi="Book Antiqua"/>
                <w:sz w:val="22"/>
                <w:szCs w:val="22"/>
              </w:rPr>
              <w:t>Dopravné prostriedky</w:t>
            </w:r>
          </w:p>
        </w:tc>
        <w:tc>
          <w:tcPr>
            <w:tcW w:w="1985"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4 až 6</w:t>
            </w:r>
          </w:p>
        </w:tc>
        <w:tc>
          <w:tcPr>
            <w:tcW w:w="141" w:type="dxa"/>
          </w:tcPr>
          <w:p w:rsidR="002E5D8A" w:rsidRPr="00A7208C" w:rsidRDefault="002E5D8A" w:rsidP="00606D22">
            <w:pPr>
              <w:pStyle w:val="Tabulka"/>
              <w:jc w:val="center"/>
              <w:rPr>
                <w:rFonts w:ascii="Book Antiqua" w:hAnsi="Book Antiqua"/>
                <w:sz w:val="22"/>
                <w:szCs w:val="22"/>
              </w:rPr>
            </w:pPr>
          </w:p>
        </w:tc>
        <w:tc>
          <w:tcPr>
            <w:tcW w:w="1701"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degresívna</w:t>
            </w:r>
          </w:p>
        </w:tc>
        <w:tc>
          <w:tcPr>
            <w:tcW w:w="142" w:type="dxa"/>
          </w:tcPr>
          <w:p w:rsidR="002E5D8A" w:rsidRPr="00A7208C" w:rsidRDefault="002E5D8A" w:rsidP="00606D22">
            <w:pPr>
              <w:pStyle w:val="Tabulka"/>
              <w:jc w:val="center"/>
              <w:rPr>
                <w:rFonts w:ascii="Book Antiqua" w:hAnsi="Book Antiqua"/>
                <w:sz w:val="22"/>
                <w:szCs w:val="22"/>
              </w:rPr>
            </w:pPr>
          </w:p>
        </w:tc>
        <w:tc>
          <w:tcPr>
            <w:tcW w:w="1701"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16 až 30</w:t>
            </w:r>
          </w:p>
        </w:tc>
      </w:tr>
      <w:tr w:rsidR="002E5D8A" w:rsidRPr="00A7208C" w:rsidTr="00606D22">
        <w:trPr>
          <w:trHeight w:val="250"/>
        </w:trPr>
        <w:tc>
          <w:tcPr>
            <w:tcW w:w="3118" w:type="dxa"/>
            <w:gridSpan w:val="2"/>
          </w:tcPr>
          <w:p w:rsidR="002E5D8A" w:rsidRPr="00A7208C" w:rsidRDefault="002E5D8A" w:rsidP="00606D22">
            <w:pPr>
              <w:pStyle w:val="Tabulka"/>
              <w:rPr>
                <w:rFonts w:ascii="Book Antiqua" w:hAnsi="Book Antiqua"/>
                <w:sz w:val="22"/>
                <w:szCs w:val="22"/>
              </w:rPr>
            </w:pPr>
            <w:r w:rsidRPr="00A7208C">
              <w:rPr>
                <w:rFonts w:ascii="Book Antiqua" w:hAnsi="Book Antiqua"/>
                <w:sz w:val="22"/>
                <w:szCs w:val="22"/>
              </w:rPr>
              <w:t>Drobný dlhodobý hmotný majetok</w:t>
            </w:r>
          </w:p>
        </w:tc>
        <w:tc>
          <w:tcPr>
            <w:tcW w:w="1985"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rôzna</w:t>
            </w:r>
          </w:p>
        </w:tc>
        <w:tc>
          <w:tcPr>
            <w:tcW w:w="141" w:type="dxa"/>
          </w:tcPr>
          <w:p w:rsidR="002E5D8A" w:rsidRPr="00A7208C" w:rsidRDefault="002E5D8A" w:rsidP="00606D22">
            <w:pPr>
              <w:pStyle w:val="Tabulka"/>
              <w:jc w:val="center"/>
              <w:rPr>
                <w:rFonts w:ascii="Book Antiqua" w:hAnsi="Book Antiqua"/>
                <w:sz w:val="22"/>
                <w:szCs w:val="22"/>
              </w:rPr>
            </w:pPr>
          </w:p>
        </w:tc>
        <w:tc>
          <w:tcPr>
            <w:tcW w:w="1701"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jednorazový odpis</w:t>
            </w:r>
          </w:p>
        </w:tc>
        <w:tc>
          <w:tcPr>
            <w:tcW w:w="142" w:type="dxa"/>
          </w:tcPr>
          <w:p w:rsidR="002E5D8A" w:rsidRPr="00A7208C" w:rsidRDefault="002E5D8A" w:rsidP="00606D22">
            <w:pPr>
              <w:pStyle w:val="Tabulka"/>
              <w:jc w:val="center"/>
              <w:rPr>
                <w:rFonts w:ascii="Book Antiqua" w:hAnsi="Book Antiqua"/>
                <w:sz w:val="22"/>
                <w:szCs w:val="22"/>
              </w:rPr>
            </w:pPr>
          </w:p>
        </w:tc>
        <w:tc>
          <w:tcPr>
            <w:tcW w:w="1701" w:type="dxa"/>
          </w:tcPr>
          <w:p w:rsidR="002E5D8A" w:rsidRPr="00A7208C" w:rsidRDefault="002E5D8A" w:rsidP="00606D22">
            <w:pPr>
              <w:pStyle w:val="Tabulka"/>
              <w:jc w:val="center"/>
              <w:rPr>
                <w:rFonts w:ascii="Book Antiqua" w:hAnsi="Book Antiqua"/>
                <w:sz w:val="22"/>
                <w:szCs w:val="22"/>
              </w:rPr>
            </w:pPr>
            <w:r w:rsidRPr="00A7208C">
              <w:rPr>
                <w:rFonts w:ascii="Book Antiqua" w:hAnsi="Book Antiqua"/>
                <w:sz w:val="22"/>
                <w:szCs w:val="22"/>
              </w:rPr>
              <w:t>100</w:t>
            </w:r>
          </w:p>
        </w:tc>
      </w:tr>
    </w:tbl>
    <w:p w:rsidR="002E5D8A" w:rsidRDefault="002E5D8A" w:rsidP="002E5D8A">
      <w:pPr>
        <w:pStyle w:val="Pismenka"/>
        <w:numPr>
          <w:ilvl w:val="0"/>
          <w:numId w:val="0"/>
        </w:numPr>
      </w:pPr>
    </w:p>
    <w:p w:rsidR="002E5D8A" w:rsidRPr="00A7208C" w:rsidRDefault="002E5D8A" w:rsidP="00A7208C">
      <w:pPr>
        <w:pStyle w:val="Pismenka"/>
        <w:numPr>
          <w:ilvl w:val="0"/>
          <w:numId w:val="9"/>
        </w:numPr>
        <w:rPr>
          <w:rFonts w:ascii="Book Antiqua" w:hAnsi="Book Antiqua"/>
          <w:sz w:val="22"/>
          <w:szCs w:val="22"/>
        </w:rPr>
      </w:pPr>
      <w:r w:rsidRPr="00A7208C">
        <w:rPr>
          <w:rFonts w:ascii="Book Antiqua" w:hAnsi="Book Antiqua"/>
          <w:sz w:val="22"/>
          <w:szCs w:val="22"/>
        </w:rPr>
        <w:t>Cenné papiere a podiely</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 xml:space="preserve">Cenné papiere a podiely sa oceňujú obstarávacími cenami vrátane nákladov súvisiacich s obstaraním. Od obstarávacej ceny je odpočítané zníženie hodnoty cenných papierov a podielov. </w:t>
      </w:r>
    </w:p>
    <w:p w:rsidR="002E5D8A" w:rsidRPr="00A7208C" w:rsidRDefault="002E5D8A" w:rsidP="002E5D8A">
      <w:pPr>
        <w:pStyle w:val="Zkladntext"/>
        <w:rPr>
          <w:rFonts w:ascii="Book Antiqua" w:hAnsi="Book Antiqua"/>
          <w:sz w:val="22"/>
          <w:szCs w:val="22"/>
        </w:rPr>
      </w:pPr>
    </w:p>
    <w:p w:rsidR="002E5D8A" w:rsidRPr="00A7208C" w:rsidRDefault="002E5D8A" w:rsidP="00A7208C">
      <w:pPr>
        <w:pStyle w:val="Pismenka"/>
        <w:numPr>
          <w:ilvl w:val="0"/>
          <w:numId w:val="9"/>
        </w:numPr>
        <w:rPr>
          <w:rFonts w:ascii="Book Antiqua" w:hAnsi="Book Antiqua"/>
          <w:sz w:val="22"/>
          <w:szCs w:val="22"/>
        </w:rPr>
      </w:pPr>
      <w:r w:rsidRPr="00A7208C">
        <w:rPr>
          <w:rFonts w:ascii="Book Antiqua" w:hAnsi="Book Antiqua"/>
          <w:sz w:val="22"/>
          <w:szCs w:val="22"/>
        </w:rPr>
        <w:t xml:space="preserve">Zásoby </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Zásoby sa oceňujú nižšou z nasledujúcich hodnôt: obstarávacou cenou (nakupované zásoby) alebo vlastnými nákladmi (zásoby vytvorené vlastnou činnosťou) alebo čistou realizačnou hodnotou.</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 xml:space="preserve">Čistá realizačná hodnota je predpokladaná predajná cena znížená o predpokladané náklady na ich dokončenie a o predpokladané náklady súvisiace s ich predajom.  </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Zníženie hodnoty zásob sa upravuje vytvorením opravnej položky.</w:t>
      </w:r>
    </w:p>
    <w:p w:rsidR="002E5D8A" w:rsidRPr="00A7208C" w:rsidRDefault="002E5D8A" w:rsidP="002E5D8A">
      <w:pPr>
        <w:pStyle w:val="Zkladntext"/>
        <w:rPr>
          <w:rFonts w:ascii="Book Antiqua" w:hAnsi="Book Antiqua"/>
          <w:sz w:val="22"/>
          <w:szCs w:val="22"/>
        </w:rPr>
      </w:pPr>
    </w:p>
    <w:p w:rsidR="002E5D8A" w:rsidRPr="00A7208C" w:rsidRDefault="002E5D8A" w:rsidP="00A7208C">
      <w:pPr>
        <w:pStyle w:val="Pismenka"/>
        <w:numPr>
          <w:ilvl w:val="0"/>
          <w:numId w:val="9"/>
        </w:numPr>
        <w:rPr>
          <w:rFonts w:ascii="Book Antiqua" w:hAnsi="Book Antiqua"/>
          <w:sz w:val="22"/>
          <w:szCs w:val="22"/>
        </w:rPr>
      </w:pPr>
      <w:r w:rsidRPr="00A7208C">
        <w:rPr>
          <w:rFonts w:ascii="Book Antiqua" w:hAnsi="Book Antiqua"/>
          <w:sz w:val="22"/>
          <w:szCs w:val="22"/>
        </w:rPr>
        <w:t>Zákazková výroba</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Zákazková výroba sa vykazuje použitím metódy stupňa dokončenia zákazky (angl. percentage-of-completion-method).</w:t>
      </w:r>
    </w:p>
    <w:p w:rsidR="002E5D8A" w:rsidRPr="00A7208C" w:rsidRDefault="002E5D8A" w:rsidP="002E5D8A">
      <w:pPr>
        <w:pStyle w:val="Pismenka"/>
        <w:numPr>
          <w:ilvl w:val="0"/>
          <w:numId w:val="0"/>
        </w:numPr>
        <w:rPr>
          <w:rFonts w:ascii="Book Antiqua" w:hAnsi="Book Antiqua"/>
          <w:b w:val="0"/>
          <w:sz w:val="22"/>
          <w:szCs w:val="22"/>
        </w:rPr>
      </w:pPr>
    </w:p>
    <w:p w:rsidR="002E5D8A" w:rsidRPr="00A7208C" w:rsidRDefault="002E5D8A" w:rsidP="00A7208C">
      <w:pPr>
        <w:pStyle w:val="Pismenka"/>
        <w:numPr>
          <w:ilvl w:val="0"/>
          <w:numId w:val="9"/>
        </w:numPr>
        <w:rPr>
          <w:rFonts w:ascii="Book Antiqua" w:hAnsi="Book Antiqua"/>
          <w:sz w:val="22"/>
          <w:szCs w:val="22"/>
        </w:rPr>
      </w:pPr>
      <w:r w:rsidRPr="00A7208C">
        <w:rPr>
          <w:rFonts w:ascii="Book Antiqua" w:hAnsi="Book Antiqua"/>
          <w:sz w:val="22"/>
          <w:szCs w:val="22"/>
        </w:rPr>
        <w:t>Zákazková výstavba nehnuteľnosti</w:t>
      </w:r>
    </w:p>
    <w:p w:rsidR="002E5D8A" w:rsidRPr="00A7208C" w:rsidRDefault="002E5D8A" w:rsidP="002E5D8A">
      <w:pPr>
        <w:pStyle w:val="Zkladntext"/>
        <w:rPr>
          <w:rFonts w:ascii="Book Antiqua" w:hAnsi="Book Antiqua"/>
          <w:b/>
          <w:i/>
          <w:sz w:val="22"/>
          <w:szCs w:val="22"/>
        </w:rPr>
      </w:pPr>
      <w:r w:rsidRPr="00A7208C">
        <w:rPr>
          <w:rFonts w:ascii="Book Antiqua" w:hAnsi="Book Antiqua"/>
          <w:b/>
          <w:i/>
          <w:sz w:val="22"/>
          <w:szCs w:val="22"/>
        </w:rPr>
        <w:t>Zákazková výstavba nehnuteľnosti – priebežný transfer</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 xml:space="preserve">Zákazková výstavba nehnuteľnosti určenej na predaj sa vykazuje podľa metódy stupňa dokončenia. </w:t>
      </w:r>
    </w:p>
    <w:p w:rsidR="002E5D8A" w:rsidRPr="00A7208C" w:rsidRDefault="002E5D8A" w:rsidP="002E5D8A">
      <w:pPr>
        <w:pStyle w:val="Zkladntext"/>
        <w:rPr>
          <w:rFonts w:ascii="Book Antiqua" w:hAnsi="Book Antiqua"/>
          <w:b/>
          <w:i/>
          <w:sz w:val="22"/>
          <w:szCs w:val="22"/>
        </w:rPr>
      </w:pPr>
      <w:r w:rsidRPr="00A7208C">
        <w:rPr>
          <w:rFonts w:ascii="Book Antiqua" w:hAnsi="Book Antiqua"/>
          <w:b/>
          <w:i/>
          <w:sz w:val="22"/>
          <w:szCs w:val="22"/>
        </w:rPr>
        <w:t>Zákazková výstavba nehnuteľnosti – ostatná (nie priebežný transfer)</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Zákazková výstavba nehnuteľnosti určenej na predaj – ostatná (nie priebežný transfer) sa vykazuje metódou tzv. nulového zisku, t. j. zisk sa vykáže pri predaji nehnuteľnosti.</w:t>
      </w:r>
    </w:p>
    <w:p w:rsidR="002E5D8A" w:rsidRPr="00A7208C" w:rsidRDefault="002E5D8A" w:rsidP="002E5D8A">
      <w:pPr>
        <w:pStyle w:val="Pismenka"/>
        <w:numPr>
          <w:ilvl w:val="0"/>
          <w:numId w:val="0"/>
        </w:numPr>
        <w:rPr>
          <w:rFonts w:ascii="Book Antiqua" w:hAnsi="Book Antiqua"/>
          <w:b w:val="0"/>
          <w:sz w:val="22"/>
          <w:szCs w:val="22"/>
        </w:rPr>
      </w:pPr>
    </w:p>
    <w:p w:rsidR="002E5D8A" w:rsidRPr="00A7208C" w:rsidRDefault="002E5D8A" w:rsidP="00A7208C">
      <w:pPr>
        <w:pStyle w:val="Pismenka"/>
        <w:numPr>
          <w:ilvl w:val="0"/>
          <w:numId w:val="9"/>
        </w:numPr>
        <w:rPr>
          <w:rFonts w:ascii="Book Antiqua" w:hAnsi="Book Antiqua"/>
          <w:sz w:val="22"/>
          <w:szCs w:val="22"/>
        </w:rPr>
      </w:pPr>
      <w:r w:rsidRPr="00A7208C">
        <w:rPr>
          <w:rFonts w:ascii="Book Antiqua" w:hAnsi="Book Antiqua"/>
          <w:sz w:val="22"/>
          <w:szCs w:val="22"/>
        </w:rPr>
        <w:t>Pohľadávky</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2E5D8A" w:rsidRPr="00A7208C" w:rsidRDefault="002E5D8A" w:rsidP="002E5D8A">
      <w:pPr>
        <w:pStyle w:val="Zkladntext"/>
        <w:rPr>
          <w:rFonts w:ascii="Book Antiqua" w:hAnsi="Book Antiqua"/>
          <w:sz w:val="22"/>
          <w:szCs w:val="22"/>
        </w:rPr>
      </w:pPr>
    </w:p>
    <w:p w:rsidR="002E5D8A" w:rsidRPr="00A7208C" w:rsidRDefault="002E5D8A" w:rsidP="00A7208C">
      <w:pPr>
        <w:pStyle w:val="Pismenka"/>
        <w:numPr>
          <w:ilvl w:val="0"/>
          <w:numId w:val="9"/>
        </w:numPr>
        <w:rPr>
          <w:rFonts w:ascii="Book Antiqua" w:hAnsi="Book Antiqua"/>
          <w:sz w:val="22"/>
          <w:szCs w:val="22"/>
        </w:rPr>
      </w:pPr>
      <w:r w:rsidRPr="00A7208C">
        <w:rPr>
          <w:rFonts w:ascii="Book Antiqua" w:hAnsi="Book Antiqua"/>
          <w:sz w:val="22"/>
          <w:szCs w:val="22"/>
        </w:rPr>
        <w:t>Peňažné prostriedky a ceniny</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Peňažné prostriedky a ceniny sa oceňujú ich menovitou hodnotou. Zníženie ich hodnoty sa vyjadruje opravnou položkou.</w:t>
      </w:r>
    </w:p>
    <w:p w:rsidR="002E5D8A" w:rsidRDefault="002E5D8A" w:rsidP="002E5D8A">
      <w:pPr>
        <w:pStyle w:val="Zkladntext"/>
        <w:rPr>
          <w:rFonts w:ascii="Book Antiqua" w:hAnsi="Book Antiqua"/>
          <w:sz w:val="22"/>
          <w:szCs w:val="22"/>
        </w:rPr>
      </w:pPr>
    </w:p>
    <w:p w:rsidR="00A54AAB" w:rsidRPr="00A54AAB" w:rsidRDefault="00A54AAB" w:rsidP="002E5D8A">
      <w:pPr>
        <w:pStyle w:val="Zkladntext"/>
        <w:rPr>
          <w:rFonts w:ascii="Book Antiqua" w:hAnsi="Book Antiqua"/>
          <w:sz w:val="22"/>
          <w:szCs w:val="22"/>
        </w:rPr>
      </w:pPr>
    </w:p>
    <w:p w:rsidR="002E5D8A" w:rsidRPr="00A7208C" w:rsidRDefault="002E5D8A" w:rsidP="00A7208C">
      <w:pPr>
        <w:pStyle w:val="Pismenka"/>
        <w:numPr>
          <w:ilvl w:val="0"/>
          <w:numId w:val="9"/>
        </w:numPr>
        <w:rPr>
          <w:rFonts w:ascii="Book Antiqua" w:hAnsi="Book Antiqua"/>
          <w:sz w:val="22"/>
          <w:szCs w:val="22"/>
        </w:rPr>
      </w:pPr>
      <w:r w:rsidRPr="00A7208C">
        <w:rPr>
          <w:rFonts w:ascii="Book Antiqua" w:hAnsi="Book Antiqua"/>
          <w:sz w:val="22"/>
          <w:szCs w:val="22"/>
        </w:rPr>
        <w:t>Náklady budúcich období a príjmy budúcich období</w:t>
      </w:r>
    </w:p>
    <w:p w:rsidR="002E5D8A" w:rsidRDefault="002E5D8A" w:rsidP="002E5D8A">
      <w:pPr>
        <w:pStyle w:val="Zkladntext"/>
        <w:rPr>
          <w:rFonts w:ascii="Book Antiqua" w:hAnsi="Book Antiqua"/>
          <w:sz w:val="22"/>
          <w:szCs w:val="22"/>
        </w:rPr>
      </w:pPr>
      <w:r w:rsidRPr="00A7208C">
        <w:rPr>
          <w:rFonts w:ascii="Book Antiqua" w:hAnsi="Book Antiqua"/>
          <w:sz w:val="22"/>
          <w:szCs w:val="22"/>
        </w:rPr>
        <w:t>Náklady budúcich období a príjmy budúcich období sa vykazujú vo výške, ktorá je potrebná na dodržanie zásady vecnej a časovej súvislosti s účtovným obdobím.</w:t>
      </w:r>
    </w:p>
    <w:p w:rsidR="00F859DD" w:rsidRDefault="00F859DD" w:rsidP="002E5D8A">
      <w:pPr>
        <w:pStyle w:val="Zkladntext"/>
        <w:rPr>
          <w:rFonts w:ascii="Book Antiqua" w:hAnsi="Book Antiqua"/>
          <w:sz w:val="22"/>
          <w:szCs w:val="22"/>
        </w:rPr>
      </w:pPr>
    </w:p>
    <w:p w:rsidR="00F859DD" w:rsidRPr="00F859DD" w:rsidRDefault="00F859DD" w:rsidP="002E5D8A">
      <w:pPr>
        <w:pStyle w:val="Zkladntext"/>
        <w:rPr>
          <w:rFonts w:ascii="Book Antiqua" w:hAnsi="Book Antiqua"/>
          <w:sz w:val="22"/>
          <w:szCs w:val="22"/>
        </w:rPr>
      </w:pPr>
    </w:p>
    <w:p w:rsidR="002E5D8A" w:rsidRPr="00A7208C" w:rsidRDefault="002E5D8A" w:rsidP="00A7208C">
      <w:pPr>
        <w:pStyle w:val="Pismenka"/>
        <w:numPr>
          <w:ilvl w:val="0"/>
          <w:numId w:val="9"/>
        </w:numPr>
        <w:rPr>
          <w:rFonts w:ascii="Book Antiqua" w:hAnsi="Book Antiqua"/>
          <w:sz w:val="22"/>
          <w:szCs w:val="22"/>
        </w:rPr>
      </w:pPr>
      <w:r w:rsidRPr="00A7208C">
        <w:rPr>
          <w:rFonts w:ascii="Book Antiqua" w:hAnsi="Book Antiqua"/>
          <w:sz w:val="22"/>
          <w:szCs w:val="22"/>
        </w:rPr>
        <w:lastRenderedPageBreak/>
        <w:t>Rezervy</w:t>
      </w:r>
    </w:p>
    <w:p w:rsidR="002E5D8A" w:rsidRPr="00A7208C" w:rsidRDefault="002E5D8A" w:rsidP="00A7208C">
      <w:pPr>
        <w:pStyle w:val="Pismenka"/>
        <w:numPr>
          <w:ilvl w:val="0"/>
          <w:numId w:val="0"/>
        </w:numPr>
        <w:ind w:left="360"/>
        <w:rPr>
          <w:rFonts w:ascii="Book Antiqua" w:hAnsi="Book Antiqua"/>
          <w:b w:val="0"/>
          <w:sz w:val="22"/>
          <w:szCs w:val="22"/>
        </w:rPr>
      </w:pPr>
      <w:r w:rsidRPr="00A7208C">
        <w:rPr>
          <w:rFonts w:ascii="Book Antiqua" w:hAnsi="Book Antiqua"/>
          <w:b w:val="0"/>
          <w:sz w:val="22"/>
          <w:szCs w:val="22"/>
        </w:rPr>
        <w:t>Rezervy sú záväzky s neurčitým časovým vymedzením alebo výškou; tvoria sa na krytie známych rizík alebo strát z podnikania. Oceňujú sa v očakávanej výške záväzku.</w:t>
      </w:r>
    </w:p>
    <w:p w:rsidR="002E5D8A" w:rsidRPr="00A7208C" w:rsidRDefault="002E5D8A" w:rsidP="002E5D8A">
      <w:pPr>
        <w:pStyle w:val="Pismenka"/>
        <w:numPr>
          <w:ilvl w:val="0"/>
          <w:numId w:val="0"/>
        </w:numPr>
        <w:ind w:left="360"/>
        <w:rPr>
          <w:rFonts w:ascii="Book Antiqua" w:hAnsi="Book Antiqua"/>
          <w:b w:val="0"/>
          <w:sz w:val="22"/>
          <w:szCs w:val="22"/>
        </w:rPr>
      </w:pPr>
    </w:p>
    <w:p w:rsidR="002E5D8A" w:rsidRPr="00A7208C" w:rsidRDefault="002E5D8A" w:rsidP="00A7208C">
      <w:pPr>
        <w:pStyle w:val="Pismenka"/>
        <w:numPr>
          <w:ilvl w:val="0"/>
          <w:numId w:val="9"/>
        </w:numPr>
        <w:rPr>
          <w:rFonts w:ascii="Book Antiqua" w:hAnsi="Book Antiqua"/>
          <w:sz w:val="22"/>
          <w:szCs w:val="22"/>
        </w:rPr>
      </w:pPr>
      <w:r w:rsidRPr="00A7208C">
        <w:rPr>
          <w:rFonts w:ascii="Book Antiqua" w:hAnsi="Book Antiqua"/>
          <w:sz w:val="22"/>
          <w:szCs w:val="22"/>
        </w:rPr>
        <w:t>Záväzky</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2E5D8A" w:rsidRPr="00A7208C" w:rsidRDefault="002E5D8A" w:rsidP="002E5D8A">
      <w:pPr>
        <w:pStyle w:val="Pismenka"/>
        <w:numPr>
          <w:ilvl w:val="0"/>
          <w:numId w:val="0"/>
        </w:numPr>
        <w:ind w:left="360"/>
        <w:rPr>
          <w:rFonts w:ascii="Book Antiqua" w:hAnsi="Book Antiqua"/>
          <w:sz w:val="22"/>
          <w:szCs w:val="22"/>
        </w:rPr>
      </w:pPr>
    </w:p>
    <w:p w:rsidR="002E5D8A" w:rsidRPr="00A7208C" w:rsidRDefault="00A7208C" w:rsidP="00A7208C">
      <w:pPr>
        <w:pStyle w:val="Pismenka"/>
        <w:numPr>
          <w:ilvl w:val="0"/>
          <w:numId w:val="0"/>
        </w:numPr>
        <w:ind w:left="426"/>
        <w:rPr>
          <w:rFonts w:ascii="Book Antiqua" w:hAnsi="Book Antiqua"/>
          <w:sz w:val="22"/>
          <w:szCs w:val="22"/>
        </w:rPr>
      </w:pPr>
      <w:r w:rsidRPr="00A7208C">
        <w:rPr>
          <w:rFonts w:ascii="Book Antiqua" w:hAnsi="Book Antiqua"/>
          <w:sz w:val="22"/>
          <w:szCs w:val="22"/>
        </w:rPr>
        <w:t xml:space="preserve">(12) </w:t>
      </w:r>
      <w:r w:rsidR="002E5D8A" w:rsidRPr="00A7208C">
        <w:rPr>
          <w:rFonts w:ascii="Book Antiqua" w:hAnsi="Book Antiqua"/>
          <w:sz w:val="22"/>
          <w:szCs w:val="22"/>
        </w:rPr>
        <w:t>Výdavky budúcich období a výnosy budúcich období</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Výdavky budúcich období a výnosy budúcich období sa vykazujú vo výške, ktorá je potrebná na dodržanie zásady vecnej a časovej súvislosti s účtovným obdobím.</w:t>
      </w:r>
    </w:p>
    <w:p w:rsidR="002E5D8A" w:rsidRPr="00A7208C" w:rsidRDefault="002E5D8A" w:rsidP="002E5D8A">
      <w:pPr>
        <w:pStyle w:val="Zkladntext"/>
        <w:rPr>
          <w:rFonts w:ascii="Book Antiqua" w:hAnsi="Book Antiqua"/>
          <w:sz w:val="22"/>
          <w:szCs w:val="22"/>
        </w:rPr>
      </w:pPr>
    </w:p>
    <w:p w:rsidR="002E5D8A" w:rsidRPr="00A7208C" w:rsidRDefault="002E5D8A" w:rsidP="00A7208C">
      <w:pPr>
        <w:pStyle w:val="Pismenka"/>
        <w:numPr>
          <w:ilvl w:val="0"/>
          <w:numId w:val="13"/>
        </w:numPr>
        <w:rPr>
          <w:rFonts w:ascii="Book Antiqua" w:hAnsi="Book Antiqua"/>
          <w:sz w:val="22"/>
          <w:szCs w:val="22"/>
        </w:rPr>
      </w:pPr>
      <w:r w:rsidRPr="00A7208C">
        <w:rPr>
          <w:rFonts w:ascii="Book Antiqua" w:hAnsi="Book Antiqua"/>
          <w:sz w:val="22"/>
          <w:szCs w:val="22"/>
        </w:rPr>
        <w:t>Dotácie zo štátneho rozpočtu</w:t>
      </w:r>
    </w:p>
    <w:p w:rsidR="002E5D8A" w:rsidRPr="00A7208C" w:rsidRDefault="002E5D8A" w:rsidP="00A7208C">
      <w:pPr>
        <w:pStyle w:val="Zkladntext"/>
        <w:rPr>
          <w:rFonts w:ascii="Book Antiqua" w:hAnsi="Book Antiqua"/>
          <w:sz w:val="22"/>
          <w:szCs w:val="22"/>
        </w:rPr>
      </w:pPr>
      <w:r w:rsidRPr="00A7208C">
        <w:rPr>
          <w:rFonts w:ascii="Book Antiqua" w:hAnsi="Book Antiqua"/>
          <w:sz w:val="22"/>
          <w:szCs w:val="22"/>
        </w:rPr>
        <w:t>O nároku na dotácie zo štátneho rozpočtu sa účtuje, ak je takmer isté, že na základe splnených podmienok na poskytnutie dotácie sa Spoločnosti daná dotácia poskytne.</w:t>
      </w:r>
    </w:p>
    <w:p w:rsidR="002E5D8A" w:rsidRPr="00A7208C" w:rsidRDefault="002E5D8A" w:rsidP="00A7208C">
      <w:pPr>
        <w:pStyle w:val="Zkladntext"/>
        <w:rPr>
          <w:rFonts w:ascii="Book Antiqua" w:hAnsi="Book Antiqua"/>
          <w:sz w:val="22"/>
          <w:szCs w:val="22"/>
        </w:rPr>
      </w:pPr>
      <w:r w:rsidRPr="00A7208C">
        <w:rPr>
          <w:rFonts w:ascii="Book Antiqua" w:hAnsi="Book Antiqua"/>
          <w:sz w:val="22"/>
          <w:szCs w:val="22"/>
        </w:rPr>
        <w:t>Dotácie na hospodársku činnosť Spoločnosti sa najskôr vykazujú ako výnosy budúcich období a do výkazu ziskov a strát sa rozpúšťajú ako výnosy z hospodárskej činnosti v časovej a vecnej súvislosti s vynaložením nákladov na príslušný účel.</w:t>
      </w:r>
    </w:p>
    <w:p w:rsidR="002E5D8A" w:rsidRDefault="002E5D8A" w:rsidP="00A7208C">
      <w:pPr>
        <w:pStyle w:val="Zkladntext"/>
        <w:rPr>
          <w:rFonts w:ascii="Book Antiqua" w:hAnsi="Book Antiqua"/>
          <w:sz w:val="22"/>
          <w:szCs w:val="22"/>
        </w:rPr>
      </w:pPr>
      <w:r w:rsidRPr="00A7208C">
        <w:rPr>
          <w:rFonts w:ascii="Book Antiqua" w:hAnsi="Book Antiqua"/>
          <w:sz w:val="22"/>
          <w:szCs w:val="22"/>
        </w:rPr>
        <w:t>Dotácie na obstaranie dlhodobého hmotného majetku a dlhodobého nehmotného majetku sa najskôr vykazujú ako výnosy budúcich období a do výkazu ziskov a strát sa rozpúšťajú v časovej a vecnej súvislosti</w:t>
      </w:r>
      <w:r w:rsidR="00A7208C">
        <w:rPr>
          <w:rFonts w:ascii="Book Antiqua" w:hAnsi="Book Antiqua"/>
          <w:sz w:val="22"/>
          <w:szCs w:val="22"/>
        </w:rPr>
        <w:t xml:space="preserve"> </w:t>
      </w:r>
      <w:r w:rsidRPr="00A7208C">
        <w:rPr>
          <w:rFonts w:ascii="Book Antiqua" w:hAnsi="Book Antiqua"/>
          <w:sz w:val="22"/>
          <w:szCs w:val="22"/>
        </w:rPr>
        <w:t xml:space="preserve">so zaúčtovaním odpisov z tohto dlhodobého majetku. </w:t>
      </w:r>
    </w:p>
    <w:p w:rsidR="00A7208C" w:rsidRPr="00A7208C" w:rsidRDefault="00A7208C" w:rsidP="00A7208C">
      <w:pPr>
        <w:pStyle w:val="Zkladntext"/>
        <w:rPr>
          <w:rFonts w:ascii="Book Antiqua" w:hAnsi="Book Antiqua"/>
          <w:sz w:val="22"/>
          <w:szCs w:val="22"/>
        </w:rPr>
      </w:pPr>
    </w:p>
    <w:p w:rsidR="002E5D8A" w:rsidRPr="00A7208C" w:rsidRDefault="00A7208C" w:rsidP="00A7208C">
      <w:pPr>
        <w:pStyle w:val="Pismenka"/>
        <w:numPr>
          <w:ilvl w:val="0"/>
          <w:numId w:val="0"/>
        </w:numPr>
        <w:ind w:left="426"/>
        <w:rPr>
          <w:rFonts w:ascii="Book Antiqua" w:hAnsi="Book Antiqua"/>
          <w:sz w:val="22"/>
          <w:szCs w:val="22"/>
        </w:rPr>
      </w:pPr>
      <w:r w:rsidRPr="00A7208C">
        <w:rPr>
          <w:rFonts w:ascii="Book Antiqua" w:hAnsi="Book Antiqua"/>
          <w:sz w:val="22"/>
          <w:szCs w:val="22"/>
        </w:rPr>
        <w:t>(1</w:t>
      </w:r>
      <w:r>
        <w:rPr>
          <w:rFonts w:ascii="Book Antiqua" w:hAnsi="Book Antiqua"/>
          <w:sz w:val="22"/>
          <w:szCs w:val="22"/>
        </w:rPr>
        <w:t>4</w:t>
      </w:r>
      <w:r w:rsidRPr="00A7208C">
        <w:rPr>
          <w:rFonts w:ascii="Book Antiqua" w:hAnsi="Book Antiqua"/>
          <w:sz w:val="22"/>
          <w:szCs w:val="22"/>
        </w:rPr>
        <w:t xml:space="preserve">) </w:t>
      </w:r>
      <w:r w:rsidR="002E5D8A" w:rsidRPr="00A7208C">
        <w:rPr>
          <w:rFonts w:ascii="Book Antiqua" w:hAnsi="Book Antiqua"/>
          <w:sz w:val="22"/>
          <w:szCs w:val="22"/>
        </w:rPr>
        <w:t>Prenájom (lízing)</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Operatívny prenájom. Majetok prenajatý na základe operatívneho prenájmu vykazuje ako svoj majetok jeho vlastník, nie nájomca.</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Finančný prenájom (s kúpnou opciou; bez kúpnej opcie je považovaný za operatívny prenájom). Majetok prenajatý na základe zmluvy uzatvorenej do 31. decembra 2003 vykazuje ako svoj majetok jeho vlastník, nie nájomca. Majetok prenajatý na základe zmluvy uzatvorenej 1. januára 2004 a neskôr vykazuje ako svoj majetok jeho nájomca, nie vlastník.</w:t>
      </w:r>
    </w:p>
    <w:p w:rsidR="002E5D8A" w:rsidRPr="00A7208C" w:rsidRDefault="002E5D8A" w:rsidP="002E5D8A">
      <w:pPr>
        <w:pStyle w:val="Zkladntext"/>
        <w:rPr>
          <w:rFonts w:ascii="Book Antiqua" w:hAnsi="Book Antiqua"/>
          <w:sz w:val="22"/>
          <w:szCs w:val="22"/>
        </w:rPr>
      </w:pPr>
    </w:p>
    <w:p w:rsidR="002E5D8A" w:rsidRPr="00A7208C" w:rsidRDefault="002E5D8A" w:rsidP="00A54AAB">
      <w:pPr>
        <w:pStyle w:val="Pismenka"/>
        <w:numPr>
          <w:ilvl w:val="0"/>
          <w:numId w:val="18"/>
        </w:numPr>
        <w:rPr>
          <w:rFonts w:ascii="Book Antiqua" w:hAnsi="Book Antiqua"/>
          <w:sz w:val="22"/>
          <w:szCs w:val="22"/>
        </w:rPr>
      </w:pPr>
      <w:r w:rsidRPr="00A7208C">
        <w:rPr>
          <w:rFonts w:ascii="Book Antiqua" w:hAnsi="Book Antiqua"/>
          <w:sz w:val="22"/>
          <w:szCs w:val="22"/>
        </w:rPr>
        <w:t>Cudzia mena</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 xml:space="preserve">Prijaté a poskytnuté preddavky v cudzej mene na účet zriadený v eurách a z účtu zriadeného v eurách sa prepočítavajú na menu euro kurzom, za ktorý boli tieto hodnoty nakúpené alebo predané. </w:t>
      </w:r>
    </w:p>
    <w:p w:rsidR="002E5D8A" w:rsidRPr="00A7208C" w:rsidRDefault="002E5D8A" w:rsidP="002E5D8A">
      <w:pPr>
        <w:pStyle w:val="Zkladntext"/>
        <w:rPr>
          <w:rFonts w:ascii="Book Antiqua" w:hAnsi="Book Antiqua"/>
          <w:sz w:val="22"/>
          <w:szCs w:val="22"/>
        </w:rPr>
      </w:pPr>
      <w:r w:rsidRPr="00A7208C">
        <w:rPr>
          <w:rFonts w:ascii="Book Antiqua" w:hAnsi="Book Antiqua"/>
          <w:sz w:val="22"/>
          <w:szCs w:val="22"/>
        </w:rPr>
        <w:t xml:space="preserve">Prijaté a poskytnuté preddavky sa ku dňu, ku ktorému sa zostavuje účtovná závierka, na menu euro už neprepočítavajú. </w:t>
      </w:r>
    </w:p>
    <w:p w:rsidR="00A54AAB" w:rsidRPr="00A54AAB" w:rsidRDefault="00A54AAB" w:rsidP="002E5D8A">
      <w:pPr>
        <w:pStyle w:val="Zkladntext"/>
        <w:rPr>
          <w:rFonts w:ascii="Book Antiqua" w:hAnsi="Book Antiqua"/>
          <w:sz w:val="22"/>
          <w:szCs w:val="22"/>
        </w:rPr>
      </w:pPr>
    </w:p>
    <w:p w:rsidR="002E5D8A" w:rsidRPr="00A7208C" w:rsidRDefault="002E5D8A" w:rsidP="00A54AAB">
      <w:pPr>
        <w:pStyle w:val="Pismenka"/>
        <w:numPr>
          <w:ilvl w:val="0"/>
          <w:numId w:val="18"/>
        </w:numPr>
        <w:rPr>
          <w:rFonts w:ascii="Book Antiqua" w:hAnsi="Book Antiqua"/>
          <w:sz w:val="22"/>
          <w:szCs w:val="22"/>
        </w:rPr>
      </w:pPr>
      <w:r w:rsidRPr="00A7208C">
        <w:rPr>
          <w:rFonts w:ascii="Book Antiqua" w:hAnsi="Book Antiqua"/>
          <w:sz w:val="22"/>
          <w:szCs w:val="22"/>
        </w:rPr>
        <w:t>Výnosy</w:t>
      </w:r>
    </w:p>
    <w:p w:rsidR="002E5D8A" w:rsidRPr="00A23465" w:rsidRDefault="002E5D8A" w:rsidP="00286635">
      <w:pPr>
        <w:pStyle w:val="Zkladntext"/>
        <w:rPr>
          <w:rFonts w:ascii="Book Antiqua" w:hAnsi="Book Antiqua"/>
        </w:rPr>
      </w:pPr>
      <w:r w:rsidRPr="00A7208C">
        <w:rPr>
          <w:rFonts w:ascii="Book Antiqua" w:hAnsi="Book Antiqua"/>
          <w:sz w:val="22"/>
          <w:szCs w:val="22"/>
        </w:rPr>
        <w:t>Tržby za vlastné výkony a tovar neobsahujú daň z pridanej hodnoty. Sú tiež znížené o zľavy a zrážky (rabaty, bonusy, skontá, dobropisy a pod.), bez ohľadu na to, či zákazník mal vopred na zľavu nárok, alebo či ide o dodatočne uznanú zľavu.</w:t>
      </w:r>
      <w:r w:rsidR="009B2293">
        <w:rPr>
          <w:rFonts w:ascii="Book Antiqua" w:hAnsi="Book Antiqua"/>
        </w:rPr>
        <w:br w:type="page"/>
      </w:r>
    </w:p>
    <w:p w:rsidR="00BE61B2" w:rsidRPr="00A54AAB" w:rsidRDefault="00BE61B2" w:rsidP="00BE61B2">
      <w:pPr>
        <w:jc w:val="both"/>
        <w:rPr>
          <w:rFonts w:ascii="Book Antiqua" w:hAnsi="Book Antiqua"/>
          <w:b/>
          <w:sz w:val="28"/>
          <w:szCs w:val="28"/>
        </w:rPr>
      </w:pPr>
      <w:r w:rsidRPr="00A54AAB">
        <w:rPr>
          <w:rFonts w:ascii="Book Antiqua" w:hAnsi="Book Antiqua"/>
          <w:b/>
          <w:sz w:val="28"/>
          <w:szCs w:val="28"/>
        </w:rPr>
        <w:lastRenderedPageBreak/>
        <w:t xml:space="preserve">Čl. III Informácie, ktoré vysvetľujú a dopĺňajú súvahu a výkaz ziskov a strát </w:t>
      </w:r>
    </w:p>
    <w:p w:rsidR="00EC1CF9" w:rsidRPr="00EC1CF9" w:rsidRDefault="00EC1CF9" w:rsidP="00EC1CF9">
      <w:pPr>
        <w:pStyle w:val="Odsekzoznamu"/>
        <w:numPr>
          <w:ilvl w:val="0"/>
          <w:numId w:val="15"/>
        </w:numPr>
        <w:jc w:val="both"/>
        <w:rPr>
          <w:rFonts w:ascii="Book Antiqua" w:hAnsi="Book Antiqua"/>
          <w:b/>
        </w:rPr>
      </w:pPr>
      <w:r w:rsidRPr="00EC1CF9">
        <w:rPr>
          <w:rFonts w:ascii="Book Antiqua" w:hAnsi="Book Antiqua"/>
          <w:b/>
        </w:rPr>
        <w:t>Informácia o výnosoch</w:t>
      </w:r>
    </w:p>
    <w:bookmarkStart w:id="0" w:name="_MON_1488871913"/>
    <w:bookmarkEnd w:id="0"/>
    <w:p w:rsidR="00EC1CF9" w:rsidRDefault="00F20FD3" w:rsidP="00EC1CF9">
      <w:pPr>
        <w:pStyle w:val="Zkladntext"/>
      </w:pPr>
      <w:r>
        <w:object w:dxaOrig="9602" w:dyaOrig="59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98pt;height:321pt" o:ole="" o:preferrelative="f">
            <v:imagedata r:id="rId8" o:title=""/>
            <o:lock v:ext="edit" aspectratio="f"/>
          </v:shape>
          <o:OLEObject Type="Embed" ProgID="Excel.Sheet.8" ShapeID="_x0000_i1032" DrawAspect="Content" ObjectID="_1741555028" r:id="rId9"/>
        </w:object>
      </w:r>
    </w:p>
    <w:p w:rsidR="00EC1CF9" w:rsidRDefault="00EC1CF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1910C9" w:rsidRDefault="001910C9" w:rsidP="00EC1CF9">
      <w:pPr>
        <w:pStyle w:val="Zkladntext"/>
      </w:pPr>
    </w:p>
    <w:p w:rsidR="003D7C9C" w:rsidRDefault="003D7C9C" w:rsidP="00EC1CF9">
      <w:pPr>
        <w:pStyle w:val="Zkladntext"/>
      </w:pPr>
    </w:p>
    <w:p w:rsidR="003D7C9C" w:rsidRDefault="003D7C9C" w:rsidP="00EC1CF9">
      <w:pPr>
        <w:pStyle w:val="Zkladntext"/>
      </w:pPr>
    </w:p>
    <w:p w:rsidR="003D7C9C" w:rsidRDefault="003D7C9C" w:rsidP="00EC1CF9">
      <w:pPr>
        <w:pStyle w:val="Zkladntext"/>
      </w:pPr>
    </w:p>
    <w:p w:rsidR="003D7C9C" w:rsidRDefault="003D7C9C" w:rsidP="00EC1CF9">
      <w:pPr>
        <w:pStyle w:val="Zkladntext"/>
      </w:pPr>
    </w:p>
    <w:p w:rsidR="003D7C9C" w:rsidRDefault="003D7C9C" w:rsidP="00EC1CF9">
      <w:pPr>
        <w:pStyle w:val="Zkladntext"/>
      </w:pPr>
    </w:p>
    <w:p w:rsidR="003D7C9C" w:rsidRDefault="003D7C9C" w:rsidP="00EC1CF9">
      <w:pPr>
        <w:pStyle w:val="Zkladntext"/>
      </w:pPr>
    </w:p>
    <w:p w:rsidR="003D7C9C" w:rsidRDefault="003D7C9C" w:rsidP="00EC1CF9">
      <w:pPr>
        <w:pStyle w:val="Zkladntext"/>
      </w:pPr>
    </w:p>
    <w:p w:rsidR="003D7C9C" w:rsidRDefault="003D7C9C" w:rsidP="00EC1CF9">
      <w:pPr>
        <w:pStyle w:val="Zkladntext"/>
      </w:pPr>
    </w:p>
    <w:p w:rsidR="003D7C9C" w:rsidRDefault="003D7C9C" w:rsidP="00EC1CF9">
      <w:pPr>
        <w:pStyle w:val="Zkladntext"/>
      </w:pPr>
    </w:p>
    <w:p w:rsidR="003D7C9C" w:rsidRDefault="003D7C9C" w:rsidP="00EC1CF9">
      <w:pPr>
        <w:pStyle w:val="Zkladntext"/>
      </w:pPr>
    </w:p>
    <w:p w:rsidR="003D7C9C" w:rsidRDefault="003D7C9C" w:rsidP="00EC1CF9">
      <w:pPr>
        <w:pStyle w:val="Zkladntext"/>
      </w:pPr>
    </w:p>
    <w:p w:rsidR="001910C9" w:rsidRDefault="001910C9" w:rsidP="00EC1CF9">
      <w:pPr>
        <w:pStyle w:val="Zkladntext"/>
      </w:pPr>
    </w:p>
    <w:p w:rsidR="00085DCC" w:rsidRPr="00EC1CF9" w:rsidRDefault="00085DCC" w:rsidP="00085DCC">
      <w:pPr>
        <w:pStyle w:val="Odsekzoznamu"/>
        <w:numPr>
          <w:ilvl w:val="0"/>
          <w:numId w:val="15"/>
        </w:numPr>
        <w:jc w:val="both"/>
        <w:rPr>
          <w:rFonts w:ascii="Book Antiqua" w:hAnsi="Book Antiqua"/>
          <w:b/>
        </w:rPr>
      </w:pPr>
      <w:r w:rsidRPr="00EC1CF9">
        <w:rPr>
          <w:rFonts w:ascii="Book Antiqua" w:hAnsi="Book Antiqua"/>
          <w:b/>
        </w:rPr>
        <w:t xml:space="preserve">Informácia o </w:t>
      </w:r>
      <w:r>
        <w:rPr>
          <w:rFonts w:ascii="Book Antiqua" w:hAnsi="Book Antiqua"/>
          <w:b/>
        </w:rPr>
        <w:t>náklado</w:t>
      </w:r>
      <w:r w:rsidRPr="00EC1CF9">
        <w:rPr>
          <w:rFonts w:ascii="Book Antiqua" w:hAnsi="Book Antiqua"/>
          <w:b/>
        </w:rPr>
        <w:t>ch</w:t>
      </w:r>
    </w:p>
    <w:bookmarkStart w:id="1" w:name="_MON_1488872064"/>
    <w:bookmarkEnd w:id="1"/>
    <w:p w:rsidR="00085DCC" w:rsidRDefault="00F20FD3" w:rsidP="00085DCC">
      <w:pPr>
        <w:pStyle w:val="Zkladntext"/>
      </w:pPr>
      <w:r>
        <w:object w:dxaOrig="9941" w:dyaOrig="6000">
          <v:shape id="_x0000_i1039" type="#_x0000_t75" style="width:534pt;height:336pt" o:ole="" o:preferrelative="f">
            <v:imagedata r:id="rId10" o:title=""/>
            <o:lock v:ext="edit" aspectratio="f"/>
          </v:shape>
          <o:OLEObject Type="Embed" ProgID="Excel.Sheet.8" ShapeID="_x0000_i1039" DrawAspect="Content" ObjectID="_1741555029" r:id="rId11"/>
        </w:object>
      </w:r>
    </w:p>
    <w:p w:rsidR="00085DCC" w:rsidRPr="00EC1CF9" w:rsidRDefault="00085DCC" w:rsidP="00085DCC">
      <w:pPr>
        <w:pStyle w:val="Odsekzoznamu"/>
        <w:numPr>
          <w:ilvl w:val="0"/>
          <w:numId w:val="15"/>
        </w:numPr>
        <w:jc w:val="both"/>
        <w:rPr>
          <w:rFonts w:ascii="Book Antiqua" w:hAnsi="Book Antiqua"/>
          <w:b/>
        </w:rPr>
      </w:pPr>
      <w:r w:rsidRPr="00EC1CF9">
        <w:rPr>
          <w:rFonts w:ascii="Book Antiqua" w:hAnsi="Book Antiqua"/>
          <w:b/>
        </w:rPr>
        <w:t xml:space="preserve">Informácia o </w:t>
      </w:r>
      <w:r>
        <w:rPr>
          <w:rFonts w:ascii="Book Antiqua" w:hAnsi="Book Antiqua"/>
          <w:b/>
        </w:rPr>
        <w:t>záväzko</w:t>
      </w:r>
      <w:r w:rsidRPr="00EC1CF9">
        <w:rPr>
          <w:rFonts w:ascii="Book Antiqua" w:hAnsi="Book Antiqua"/>
          <w:b/>
        </w:rPr>
        <w:t>ch</w:t>
      </w:r>
    </w:p>
    <w:p w:rsidR="00085DCC" w:rsidRDefault="00085DCC" w:rsidP="00085DCC">
      <w:pPr>
        <w:pStyle w:val="Zkladntext"/>
      </w:pPr>
    </w:p>
    <w:p w:rsidR="00085DCC" w:rsidRPr="00F14DD7" w:rsidRDefault="00085DCC" w:rsidP="00085DCC">
      <w:pPr>
        <w:pStyle w:val="Zkladntext"/>
        <w:rPr>
          <w:rFonts w:ascii="Book Antiqua" w:hAnsi="Book Antiqua"/>
          <w:sz w:val="22"/>
          <w:szCs w:val="22"/>
        </w:rPr>
      </w:pPr>
      <w:r w:rsidRPr="00F14DD7">
        <w:rPr>
          <w:rFonts w:ascii="Book Antiqua" w:hAnsi="Book Antiqua"/>
          <w:sz w:val="22"/>
          <w:szCs w:val="22"/>
        </w:rPr>
        <w:t>Štruktúra záväzkov (okrem bankových úverov) podľa zostatkovej doby splatnosti je uvedená v nasledujúcom prehľade:</w:t>
      </w:r>
    </w:p>
    <w:bookmarkStart w:id="2" w:name="_MON_1488872506"/>
    <w:bookmarkEnd w:id="2"/>
    <w:p w:rsidR="00F14DD7" w:rsidRDefault="00F20FD3" w:rsidP="00085DCC">
      <w:pPr>
        <w:spacing w:after="0"/>
        <w:ind w:left="426"/>
        <w:jc w:val="both"/>
      </w:pPr>
      <w:r>
        <w:object w:dxaOrig="9780" w:dyaOrig="2616">
          <v:shape id="_x0000_i1043" type="#_x0000_t75" style="width:511.5pt;height:143.25pt" o:ole="" o:preferrelative="f">
            <v:imagedata r:id="rId12" o:title=""/>
            <o:lock v:ext="edit" aspectratio="f"/>
          </v:shape>
          <o:OLEObject Type="Embed" ProgID="Excel.Sheet.8" ShapeID="_x0000_i1043" DrawAspect="Content" ObjectID="_1741555030" r:id="rId13"/>
        </w:object>
      </w:r>
    </w:p>
    <w:p w:rsidR="00085DCC" w:rsidRPr="00F14DD7" w:rsidRDefault="00F14DD7" w:rsidP="00085DCC">
      <w:pPr>
        <w:spacing w:after="0"/>
        <w:ind w:left="426"/>
        <w:jc w:val="both"/>
        <w:rPr>
          <w:rFonts w:ascii="Book Antiqua" w:hAnsi="Book Antiqua"/>
        </w:rPr>
      </w:pPr>
      <w:r w:rsidRPr="00F14DD7">
        <w:rPr>
          <w:rFonts w:ascii="Book Antiqua" w:hAnsi="Book Antiqua"/>
        </w:rPr>
        <w:t>Zabezpečené záväzky spoločnosť nemá.</w:t>
      </w:r>
    </w:p>
    <w:p w:rsidR="00F14DD7" w:rsidRDefault="00F14DD7" w:rsidP="00085DCC">
      <w:pPr>
        <w:spacing w:after="0"/>
        <w:ind w:left="426"/>
        <w:jc w:val="both"/>
      </w:pPr>
    </w:p>
    <w:p w:rsidR="00F14DD7" w:rsidRPr="00F14DD7" w:rsidRDefault="00F14DD7" w:rsidP="00F14DD7">
      <w:pPr>
        <w:pStyle w:val="Zkladntext"/>
        <w:rPr>
          <w:rFonts w:ascii="Book Antiqua" w:hAnsi="Book Antiqua"/>
          <w:b/>
          <w:sz w:val="22"/>
          <w:szCs w:val="22"/>
        </w:rPr>
      </w:pPr>
      <w:r w:rsidRPr="00F14DD7">
        <w:rPr>
          <w:rFonts w:ascii="Book Antiqua" w:hAnsi="Book Antiqua"/>
          <w:b/>
          <w:sz w:val="22"/>
          <w:szCs w:val="22"/>
        </w:rPr>
        <w:t>Bankové úvery spoločnosti:</w:t>
      </w:r>
    </w:p>
    <w:p w:rsidR="00F14DD7" w:rsidRPr="0089430A" w:rsidRDefault="00C027AC" w:rsidP="0089430A">
      <w:pPr>
        <w:pStyle w:val="Zkladntext"/>
        <w:rPr>
          <w:rFonts w:ascii="Book Antiqua" w:hAnsi="Book Antiqua"/>
          <w:sz w:val="22"/>
          <w:szCs w:val="22"/>
        </w:rPr>
      </w:pPr>
      <w:r>
        <w:rPr>
          <w:rFonts w:ascii="Book Antiqua" w:hAnsi="Book Antiqua"/>
          <w:sz w:val="22"/>
          <w:szCs w:val="22"/>
        </w:rPr>
        <w:t xml:space="preserve">Spoločnosť </w:t>
      </w:r>
      <w:r w:rsidR="00131AE9">
        <w:rPr>
          <w:rFonts w:ascii="Book Antiqua" w:hAnsi="Book Antiqua"/>
          <w:sz w:val="22"/>
          <w:szCs w:val="22"/>
        </w:rPr>
        <w:t>ne</w:t>
      </w:r>
      <w:r>
        <w:rPr>
          <w:rFonts w:ascii="Book Antiqua" w:hAnsi="Book Antiqua"/>
          <w:sz w:val="22"/>
          <w:szCs w:val="22"/>
        </w:rPr>
        <w:t>čerpá bankový úver</w:t>
      </w:r>
      <w:r w:rsidR="00131AE9">
        <w:rPr>
          <w:rFonts w:ascii="Book Antiqua" w:hAnsi="Book Antiqua"/>
          <w:sz w:val="22"/>
          <w:szCs w:val="22"/>
        </w:rPr>
        <w:t xml:space="preserve">. </w:t>
      </w:r>
    </w:p>
    <w:p w:rsidR="00EC1CF9" w:rsidRDefault="00EC1CF9" w:rsidP="00BE61B2">
      <w:pPr>
        <w:jc w:val="both"/>
        <w:rPr>
          <w:rFonts w:ascii="Book Antiqua" w:hAnsi="Book Antiqua"/>
          <w:b/>
        </w:rPr>
      </w:pPr>
    </w:p>
    <w:p w:rsidR="00F14DD7" w:rsidRDefault="00F14DD7" w:rsidP="00BE61B2">
      <w:pPr>
        <w:jc w:val="both"/>
        <w:rPr>
          <w:rFonts w:ascii="Book Antiqua" w:hAnsi="Book Antiqua"/>
          <w:b/>
        </w:rPr>
      </w:pPr>
    </w:p>
    <w:p w:rsidR="00F14DD7" w:rsidRPr="00EC1CF9" w:rsidRDefault="00F14DD7" w:rsidP="00F14DD7">
      <w:pPr>
        <w:pStyle w:val="Odsekzoznamu"/>
        <w:numPr>
          <w:ilvl w:val="0"/>
          <w:numId w:val="15"/>
        </w:numPr>
        <w:jc w:val="both"/>
        <w:rPr>
          <w:rFonts w:ascii="Book Antiqua" w:hAnsi="Book Antiqua"/>
          <w:b/>
        </w:rPr>
      </w:pPr>
      <w:r>
        <w:rPr>
          <w:rFonts w:ascii="Book Antiqua" w:hAnsi="Book Antiqua"/>
          <w:b/>
        </w:rPr>
        <w:t>Informácia o vlastných akciách</w:t>
      </w:r>
    </w:p>
    <w:p w:rsidR="00F14DD7" w:rsidRPr="00F14DD7" w:rsidRDefault="00F14DD7" w:rsidP="00F14DD7">
      <w:pPr>
        <w:pStyle w:val="Zkladntext"/>
        <w:ind w:left="360"/>
        <w:rPr>
          <w:rFonts w:ascii="Book Antiqua" w:hAnsi="Book Antiqua"/>
          <w:sz w:val="22"/>
          <w:szCs w:val="22"/>
        </w:rPr>
      </w:pPr>
      <w:r w:rsidRPr="00F14DD7">
        <w:rPr>
          <w:rFonts w:ascii="Book Antiqua" w:hAnsi="Book Antiqua"/>
          <w:sz w:val="22"/>
          <w:szCs w:val="22"/>
        </w:rPr>
        <w:t>Vlastné akcie spoločnosť nemá.</w:t>
      </w:r>
    </w:p>
    <w:p w:rsidR="00F14DD7" w:rsidRDefault="00F14DD7" w:rsidP="00BE61B2">
      <w:pPr>
        <w:jc w:val="both"/>
        <w:rPr>
          <w:rFonts w:ascii="Book Antiqua" w:hAnsi="Book Antiqua"/>
          <w:b/>
        </w:rPr>
      </w:pPr>
    </w:p>
    <w:p w:rsidR="00F14DD7" w:rsidRPr="00EC1CF9" w:rsidRDefault="00F14DD7" w:rsidP="00F14DD7">
      <w:pPr>
        <w:pStyle w:val="Odsekzoznamu"/>
        <w:numPr>
          <w:ilvl w:val="0"/>
          <w:numId w:val="15"/>
        </w:numPr>
        <w:jc w:val="both"/>
        <w:rPr>
          <w:rFonts w:ascii="Book Antiqua" w:hAnsi="Book Antiqua"/>
          <w:b/>
        </w:rPr>
      </w:pPr>
      <w:r>
        <w:rPr>
          <w:rFonts w:ascii="Book Antiqua" w:hAnsi="Book Antiqua"/>
          <w:b/>
        </w:rPr>
        <w:t>Informácia o orgánoch účtovnej jednotky</w:t>
      </w:r>
    </w:p>
    <w:p w:rsidR="00B6656B" w:rsidRDefault="00001E1F" w:rsidP="00B6656B">
      <w:pPr>
        <w:spacing w:after="0"/>
        <w:ind w:left="360"/>
        <w:jc w:val="both"/>
        <w:rPr>
          <w:rFonts w:ascii="Book Antiqua" w:hAnsi="Book Antiqua"/>
        </w:rPr>
      </w:pPr>
      <w:r>
        <w:rPr>
          <w:rFonts w:ascii="Book Antiqua" w:hAnsi="Book Antiqua"/>
        </w:rPr>
        <w:t>Záruky alebo iné zabezpečenia poskytnuté pre členov štatutárneho orgánu, dozorného orgánu:</w:t>
      </w:r>
    </w:p>
    <w:p w:rsidR="00001E1F" w:rsidRDefault="00001E1F" w:rsidP="00B6656B">
      <w:pPr>
        <w:spacing w:after="0"/>
        <w:ind w:left="360"/>
        <w:jc w:val="both"/>
        <w:rPr>
          <w:rFonts w:ascii="Book Antiqua" w:hAnsi="Book Antiqua"/>
        </w:rPr>
      </w:pPr>
      <w:r>
        <w:rPr>
          <w:rFonts w:ascii="Book Antiqua" w:hAnsi="Book Antiqua"/>
        </w:rPr>
        <w:t>Žiadne nemá.</w:t>
      </w:r>
    </w:p>
    <w:p w:rsidR="00D52B8D" w:rsidRDefault="00D52B8D" w:rsidP="00B6656B">
      <w:pPr>
        <w:spacing w:after="0"/>
        <w:ind w:left="360"/>
        <w:jc w:val="both"/>
        <w:rPr>
          <w:rFonts w:ascii="Book Antiqua" w:hAnsi="Book Antiqua"/>
        </w:rPr>
      </w:pPr>
    </w:p>
    <w:p w:rsidR="00001E1F" w:rsidRDefault="00001E1F" w:rsidP="00B6656B">
      <w:pPr>
        <w:spacing w:after="0"/>
        <w:ind w:left="360"/>
        <w:jc w:val="both"/>
        <w:rPr>
          <w:rFonts w:ascii="Book Antiqua" w:hAnsi="Book Antiqua"/>
        </w:rPr>
      </w:pPr>
      <w:r>
        <w:rPr>
          <w:rFonts w:ascii="Book Antiqua" w:hAnsi="Book Antiqua"/>
        </w:rPr>
        <w:t>Pôžičky poskytnuté členom štatutárneho orgánu, dozorného orgánu a iného orgánu účtovnej jednotky:</w:t>
      </w:r>
    </w:p>
    <w:p w:rsidR="00001E1F" w:rsidRDefault="00001E1F" w:rsidP="00B6656B">
      <w:pPr>
        <w:spacing w:after="0"/>
        <w:ind w:left="360"/>
        <w:jc w:val="both"/>
        <w:rPr>
          <w:rFonts w:ascii="Book Antiqua" w:hAnsi="Book Antiqua"/>
        </w:rPr>
      </w:pPr>
    </w:p>
    <w:p w:rsidR="00001E1F" w:rsidRDefault="00001E1F" w:rsidP="00001E1F">
      <w:pPr>
        <w:pStyle w:val="Zkladntext"/>
        <w:ind w:left="425"/>
      </w:pPr>
      <w:r>
        <w:object w:dxaOrig="10917" w:dyaOrig="2476">
          <v:shape id="_x0000_i1028" type="#_x0000_t75" style="width:539.25pt;height:136.5pt" o:ole="" o:preferrelative="f">
            <v:imagedata r:id="rId14" o:title=""/>
            <o:lock v:ext="edit" aspectratio="f"/>
          </v:shape>
          <o:OLEObject Type="Embed" ProgID="Excel.Sheet.8" ShapeID="_x0000_i1028" DrawAspect="Content" ObjectID="_1741555031" r:id="rId15"/>
        </w:object>
      </w:r>
    </w:p>
    <w:p w:rsidR="00001E1F" w:rsidRDefault="00D52B8D" w:rsidP="00B6656B">
      <w:pPr>
        <w:spacing w:after="0"/>
        <w:ind w:left="360"/>
        <w:jc w:val="both"/>
        <w:rPr>
          <w:rFonts w:ascii="Book Antiqua" w:hAnsi="Book Antiqua"/>
        </w:rPr>
      </w:pPr>
      <w:r>
        <w:rPr>
          <w:rFonts w:ascii="Book Antiqua" w:hAnsi="Book Antiqua"/>
        </w:rPr>
        <w:t>Hlavné podmienky poskytnutia záruk alebo iných zabezpečení, úrokové sadzby pôžičiek:</w:t>
      </w:r>
    </w:p>
    <w:p w:rsidR="00D52B8D" w:rsidRDefault="00D52B8D" w:rsidP="00B6656B">
      <w:pPr>
        <w:spacing w:after="0"/>
        <w:ind w:left="360"/>
        <w:jc w:val="both"/>
        <w:rPr>
          <w:rFonts w:ascii="Book Antiqua" w:hAnsi="Book Antiqua"/>
        </w:rPr>
      </w:pPr>
    </w:p>
    <w:p w:rsidR="00D52B8D" w:rsidRDefault="00D52B8D" w:rsidP="00B6656B">
      <w:pPr>
        <w:spacing w:after="0"/>
        <w:ind w:left="360"/>
        <w:jc w:val="both"/>
        <w:rPr>
          <w:rFonts w:ascii="Book Antiqua" w:hAnsi="Book Antiqua"/>
        </w:rPr>
      </w:pPr>
      <w:r>
        <w:rPr>
          <w:rFonts w:ascii="Book Antiqua" w:hAnsi="Book Antiqua"/>
        </w:rPr>
        <w:t>Sumy použitých finančných prostriedkov alebo iného plnenia na súkromné účely členmi štatutárneho orgánu, dozorného orgánu a iného orgánu účtovnej jednotky, ktoré je potrebné vyúčtovať:</w:t>
      </w:r>
    </w:p>
    <w:p w:rsidR="00D52B8D" w:rsidRPr="00B6656B" w:rsidRDefault="00D52B8D" w:rsidP="00B6656B">
      <w:pPr>
        <w:spacing w:after="0"/>
        <w:ind w:left="360"/>
        <w:jc w:val="both"/>
        <w:rPr>
          <w:rFonts w:ascii="Book Antiqua" w:hAnsi="Book Antiqua"/>
        </w:rPr>
      </w:pPr>
    </w:p>
    <w:p w:rsidR="00F14DD7" w:rsidRDefault="00F14DD7" w:rsidP="00BE61B2">
      <w:pPr>
        <w:jc w:val="both"/>
        <w:rPr>
          <w:rFonts w:ascii="Book Antiqua" w:hAnsi="Book Antiqua"/>
          <w:b/>
        </w:rPr>
      </w:pPr>
    </w:p>
    <w:p w:rsidR="00FF3845" w:rsidRPr="00EC1CF9" w:rsidRDefault="00FF3845" w:rsidP="00FF3845">
      <w:pPr>
        <w:pStyle w:val="Odsekzoznamu"/>
        <w:numPr>
          <w:ilvl w:val="0"/>
          <w:numId w:val="15"/>
        </w:numPr>
        <w:jc w:val="both"/>
        <w:rPr>
          <w:rFonts w:ascii="Book Antiqua" w:hAnsi="Book Antiqua"/>
          <w:b/>
        </w:rPr>
      </w:pPr>
      <w:r>
        <w:rPr>
          <w:rFonts w:ascii="Book Antiqua" w:hAnsi="Book Antiqua"/>
          <w:b/>
        </w:rPr>
        <w:t>Informácia o povinnostiach účtovnej jednotky</w:t>
      </w:r>
    </w:p>
    <w:p w:rsidR="00FF3845" w:rsidRPr="00FF3845" w:rsidRDefault="00FF3845" w:rsidP="00FF3845">
      <w:pPr>
        <w:spacing w:after="0"/>
        <w:ind w:left="360"/>
        <w:jc w:val="both"/>
        <w:rPr>
          <w:rFonts w:ascii="Book Antiqua" w:hAnsi="Book Antiqua"/>
          <w:b/>
        </w:rPr>
      </w:pPr>
      <w:r w:rsidRPr="00FF3845">
        <w:rPr>
          <w:rFonts w:ascii="Book Antiqua" w:hAnsi="Book Antiqua"/>
          <w:b/>
        </w:rPr>
        <w:t>Ostatné finančné povinnosti:</w:t>
      </w:r>
    </w:p>
    <w:p w:rsidR="00FF3845" w:rsidRDefault="00FF3845" w:rsidP="00FF3845">
      <w:pPr>
        <w:spacing w:after="0"/>
        <w:ind w:left="360"/>
        <w:jc w:val="both"/>
        <w:rPr>
          <w:rFonts w:ascii="Book Antiqua" w:hAnsi="Book Antiqua"/>
        </w:rPr>
      </w:pPr>
      <w:r>
        <w:rPr>
          <w:rFonts w:ascii="Book Antiqua" w:hAnsi="Book Antiqua"/>
        </w:rPr>
        <w:t>Spoločnosť nemá ostatné finančné povinnosti</w:t>
      </w:r>
    </w:p>
    <w:p w:rsidR="00FF3845" w:rsidRDefault="00FF3845" w:rsidP="00FF3845">
      <w:pPr>
        <w:spacing w:after="0"/>
        <w:ind w:left="360"/>
        <w:jc w:val="both"/>
        <w:rPr>
          <w:rFonts w:ascii="Book Antiqua" w:hAnsi="Book Antiqua"/>
        </w:rPr>
      </w:pPr>
    </w:p>
    <w:p w:rsidR="00FF3845" w:rsidRPr="00FF3845" w:rsidRDefault="00FF3845" w:rsidP="00FF3845">
      <w:pPr>
        <w:spacing w:after="0"/>
        <w:ind w:left="360"/>
        <w:jc w:val="both"/>
        <w:rPr>
          <w:rFonts w:ascii="Book Antiqua" w:hAnsi="Book Antiqua"/>
          <w:b/>
        </w:rPr>
      </w:pPr>
      <w:r w:rsidRPr="00FF3845">
        <w:rPr>
          <w:rFonts w:ascii="Book Antiqua" w:hAnsi="Book Antiqua"/>
          <w:b/>
        </w:rPr>
        <w:t>Podmienený majetok:</w:t>
      </w:r>
    </w:p>
    <w:p w:rsidR="00FF3845" w:rsidRDefault="00FF3845" w:rsidP="00FF3845">
      <w:pPr>
        <w:spacing w:after="0"/>
        <w:ind w:left="360"/>
        <w:jc w:val="both"/>
        <w:rPr>
          <w:rFonts w:ascii="Book Antiqua" w:hAnsi="Book Antiqua"/>
        </w:rPr>
      </w:pPr>
      <w:r>
        <w:rPr>
          <w:rFonts w:ascii="Book Antiqua" w:hAnsi="Book Antiqua"/>
        </w:rPr>
        <w:t>Spoločnosť nemá podmienený majetok</w:t>
      </w:r>
    </w:p>
    <w:p w:rsidR="00FF3845" w:rsidRDefault="00FF3845" w:rsidP="00FF3845">
      <w:pPr>
        <w:pStyle w:val="Zkladntext"/>
        <w:ind w:left="0"/>
      </w:pPr>
    </w:p>
    <w:p w:rsidR="00FF3845" w:rsidRPr="00FF3845" w:rsidRDefault="00FF3845" w:rsidP="00FF3845">
      <w:pPr>
        <w:spacing w:after="0"/>
        <w:ind w:left="360"/>
        <w:jc w:val="both"/>
        <w:rPr>
          <w:rFonts w:ascii="Book Antiqua" w:hAnsi="Book Antiqua"/>
          <w:b/>
        </w:rPr>
      </w:pPr>
      <w:r w:rsidRPr="00FF3845">
        <w:rPr>
          <w:rFonts w:ascii="Book Antiqua" w:hAnsi="Book Antiqua"/>
          <w:b/>
        </w:rPr>
        <w:t>Podmienené záväzky:</w:t>
      </w:r>
    </w:p>
    <w:p w:rsidR="00FF3845" w:rsidRDefault="00FF3845" w:rsidP="00FF3845">
      <w:pPr>
        <w:spacing w:after="0"/>
        <w:ind w:left="360"/>
        <w:jc w:val="both"/>
        <w:rPr>
          <w:rFonts w:ascii="Book Antiqua" w:hAnsi="Book Antiqua"/>
        </w:rPr>
      </w:pPr>
      <w:r>
        <w:rPr>
          <w:rFonts w:ascii="Book Antiqua" w:hAnsi="Book Antiqua"/>
        </w:rPr>
        <w:t>Spoločnosť nemá podmienené záväzky</w:t>
      </w:r>
    </w:p>
    <w:p w:rsidR="00FF3845" w:rsidRDefault="00FF3845" w:rsidP="00FF3845">
      <w:pPr>
        <w:spacing w:after="0"/>
        <w:ind w:left="360"/>
        <w:jc w:val="both"/>
        <w:rPr>
          <w:rFonts w:ascii="Book Antiqua" w:hAnsi="Book Antiqua"/>
        </w:rPr>
      </w:pPr>
    </w:p>
    <w:p w:rsidR="00FF3845" w:rsidRPr="00FF3845" w:rsidRDefault="00FF3845" w:rsidP="00FF3845">
      <w:pPr>
        <w:pStyle w:val="Zkladntext"/>
        <w:ind w:left="0"/>
      </w:pPr>
    </w:p>
    <w:p w:rsidR="00FF3845" w:rsidRPr="00A23465" w:rsidRDefault="00FF3845" w:rsidP="00BE61B2">
      <w:pPr>
        <w:jc w:val="both"/>
        <w:rPr>
          <w:rFonts w:ascii="Book Antiqua" w:hAnsi="Book Antiqua"/>
          <w:b/>
        </w:rPr>
      </w:pPr>
    </w:p>
    <w:p w:rsidR="005D1C9C" w:rsidRPr="00A23465" w:rsidRDefault="005D1C9C" w:rsidP="00BE61B2">
      <w:pPr>
        <w:jc w:val="both"/>
        <w:rPr>
          <w:rFonts w:ascii="Book Antiqua" w:hAnsi="Book Antiqua"/>
          <w:b/>
        </w:rPr>
      </w:pPr>
      <w:bookmarkStart w:id="3" w:name="_GoBack"/>
      <w:bookmarkEnd w:id="3"/>
    </w:p>
    <w:sectPr w:rsidR="005D1C9C" w:rsidRPr="00A23465" w:rsidSect="005D1C9C">
      <w:headerReference w:type="default" r:id="rId16"/>
      <w:footerReference w:type="default" r:id="rId17"/>
      <w:pgSz w:w="11906" w:h="16838"/>
      <w:pgMar w:top="567" w:right="424" w:bottom="426" w:left="993"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76A" w:rsidRDefault="0056476A" w:rsidP="00BE61B2">
      <w:pPr>
        <w:spacing w:after="0" w:line="240" w:lineRule="auto"/>
      </w:pPr>
      <w:r>
        <w:separator/>
      </w:r>
    </w:p>
  </w:endnote>
  <w:endnote w:type="continuationSeparator" w:id="0">
    <w:p w:rsidR="0056476A" w:rsidRDefault="0056476A" w:rsidP="00BE6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Arial CE">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C9C" w:rsidRDefault="005D1C9C">
    <w:pPr>
      <w:pStyle w:val="Pta"/>
    </w:pPr>
    <w:r>
      <w:t xml:space="preserve">Strana | </w:t>
    </w:r>
    <w:r w:rsidR="00E358E8">
      <w:fldChar w:fldCharType="begin"/>
    </w:r>
    <w:r>
      <w:instrText>PAGE   \* MERGEFORMAT</w:instrText>
    </w:r>
    <w:r w:rsidR="00E358E8">
      <w:fldChar w:fldCharType="separate"/>
    </w:r>
    <w:r w:rsidR="00F20FD3">
      <w:rPr>
        <w:noProof/>
      </w:rPr>
      <w:t>7</w:t>
    </w:r>
    <w:r w:rsidR="00E358E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76A" w:rsidRDefault="0056476A" w:rsidP="00BE61B2">
      <w:pPr>
        <w:spacing w:after="0" w:line="240" w:lineRule="auto"/>
      </w:pPr>
      <w:r>
        <w:separator/>
      </w:r>
    </w:p>
  </w:footnote>
  <w:footnote w:type="continuationSeparator" w:id="0">
    <w:p w:rsidR="0056476A" w:rsidRDefault="0056476A" w:rsidP="00BE61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0" w:type="auto"/>
      <w:tblLook w:val="04A0" w:firstRow="1" w:lastRow="0" w:firstColumn="1" w:lastColumn="0" w:noHBand="0" w:noVBand="1"/>
    </w:tblPr>
    <w:tblGrid>
      <w:gridCol w:w="2802"/>
      <w:gridCol w:w="680"/>
      <w:gridCol w:w="340"/>
      <w:gridCol w:w="340"/>
      <w:gridCol w:w="340"/>
      <w:gridCol w:w="340"/>
      <w:gridCol w:w="340"/>
      <w:gridCol w:w="340"/>
      <w:gridCol w:w="340"/>
      <w:gridCol w:w="340"/>
      <w:gridCol w:w="680"/>
      <w:gridCol w:w="340"/>
      <w:gridCol w:w="340"/>
      <w:gridCol w:w="340"/>
      <w:gridCol w:w="340"/>
      <w:gridCol w:w="340"/>
      <w:gridCol w:w="340"/>
      <w:gridCol w:w="340"/>
      <w:gridCol w:w="340"/>
      <w:gridCol w:w="340"/>
      <w:gridCol w:w="340"/>
    </w:tblGrid>
    <w:tr w:rsidR="00051A53" w:rsidRPr="00051A53" w:rsidTr="00E91949">
      <w:trPr>
        <w:trHeight w:val="340"/>
      </w:trPr>
      <w:tc>
        <w:tcPr>
          <w:tcW w:w="2802" w:type="dxa"/>
          <w:vAlign w:val="center"/>
        </w:tcPr>
        <w:p w:rsidR="00051A53" w:rsidRPr="00E91949" w:rsidRDefault="00051A53" w:rsidP="005D1C9C">
          <w:pPr>
            <w:pStyle w:val="Zkladntext"/>
            <w:ind w:left="0" w:right="-143"/>
            <w:contextualSpacing/>
            <w:rPr>
              <w:b/>
              <w:color w:val="000000" w:themeColor="text1"/>
              <w:sz w:val="24"/>
              <w:szCs w:val="24"/>
            </w:rPr>
          </w:pPr>
          <w:r w:rsidRPr="00E91949">
            <w:rPr>
              <w:b/>
              <w:color w:val="000000" w:themeColor="text1"/>
              <w:sz w:val="24"/>
              <w:szCs w:val="24"/>
            </w:rPr>
            <w:t xml:space="preserve">Poznámky Úč MÚJ 3 – 01 </w:t>
          </w:r>
        </w:p>
      </w:tc>
      <w:tc>
        <w:tcPr>
          <w:tcW w:w="680" w:type="dxa"/>
          <w:tcBorders>
            <w:top w:val="nil"/>
            <w:bottom w:val="nil"/>
          </w:tcBorders>
          <w:vAlign w:val="center"/>
        </w:tcPr>
        <w:p w:rsidR="00051A53" w:rsidRPr="00F859DD" w:rsidRDefault="00051A53" w:rsidP="005D1C9C">
          <w:pPr>
            <w:pStyle w:val="Zkladntext"/>
            <w:ind w:left="0" w:right="-143"/>
            <w:contextualSpacing/>
            <w:rPr>
              <w:b/>
              <w:color w:val="000000" w:themeColor="text1"/>
              <w:sz w:val="24"/>
            </w:rPr>
          </w:pPr>
          <w:r w:rsidRPr="00F859DD">
            <w:rPr>
              <w:b/>
              <w:color w:val="000000" w:themeColor="text1"/>
              <w:sz w:val="24"/>
            </w:rPr>
            <w:t>IČO</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3</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6</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6</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4</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3</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6</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9</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6</w:t>
          </w:r>
        </w:p>
      </w:tc>
      <w:tc>
        <w:tcPr>
          <w:tcW w:w="680" w:type="dxa"/>
          <w:tcBorders>
            <w:top w:val="nil"/>
            <w:bottom w:val="nil"/>
          </w:tcBorders>
          <w:vAlign w:val="center"/>
        </w:tcPr>
        <w:p w:rsidR="00051A53" w:rsidRPr="00F859DD" w:rsidRDefault="00051A53" w:rsidP="005D1C9C">
          <w:pPr>
            <w:pStyle w:val="Zkladntext"/>
            <w:ind w:left="0" w:right="-143"/>
            <w:contextualSpacing/>
            <w:rPr>
              <w:b/>
              <w:color w:val="000000" w:themeColor="text1"/>
              <w:sz w:val="24"/>
            </w:rPr>
          </w:pPr>
          <w:r w:rsidRPr="00F859DD">
            <w:rPr>
              <w:b/>
              <w:color w:val="000000" w:themeColor="text1"/>
              <w:sz w:val="24"/>
            </w:rPr>
            <w:t>DIČ</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2</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0</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2</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2</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0</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9</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5</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2</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5</w:t>
          </w:r>
        </w:p>
      </w:tc>
      <w:tc>
        <w:tcPr>
          <w:tcW w:w="340" w:type="dxa"/>
          <w:vAlign w:val="center"/>
        </w:tcPr>
        <w:p w:rsidR="00051A53" w:rsidRPr="00F859DD" w:rsidRDefault="00327225" w:rsidP="005D1C9C">
          <w:pPr>
            <w:pStyle w:val="Zkladntext"/>
            <w:ind w:left="0" w:right="-143"/>
            <w:contextualSpacing/>
            <w:rPr>
              <w:color w:val="000000" w:themeColor="text1"/>
              <w:sz w:val="24"/>
            </w:rPr>
          </w:pPr>
          <w:r>
            <w:rPr>
              <w:color w:val="000000" w:themeColor="text1"/>
              <w:sz w:val="24"/>
            </w:rPr>
            <w:t>1</w:t>
          </w:r>
        </w:p>
      </w:tc>
    </w:tr>
  </w:tbl>
  <w:p w:rsidR="00BE61B2" w:rsidRPr="00051A53" w:rsidRDefault="00BE61B2" w:rsidP="00051A53">
    <w:pPr>
      <w:pStyle w:val="Zkladntext"/>
      <w:ind w:left="0" w:right="-143"/>
      <w:contextualSpacing/>
      <w:rPr>
        <w:color w:val="808080" w:themeColor="background1" w:themeShade="80"/>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3152"/>
    <w:multiLevelType w:val="hybridMultilevel"/>
    <w:tmpl w:val="10DAD13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096A62F2"/>
    <w:multiLevelType w:val="hybridMultilevel"/>
    <w:tmpl w:val="DA7EC2D2"/>
    <w:lvl w:ilvl="0" w:tplc="0324DBAC">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4" w15:restartNumberingAfterBreak="0">
    <w:nsid w:val="11FF2062"/>
    <w:multiLevelType w:val="hybridMultilevel"/>
    <w:tmpl w:val="E18C466E"/>
    <w:lvl w:ilvl="0" w:tplc="665A14D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63F30F7"/>
    <w:multiLevelType w:val="hybridMultilevel"/>
    <w:tmpl w:val="A6D0F528"/>
    <w:lvl w:ilvl="0" w:tplc="BD528F14">
      <w:start w:val="1"/>
      <w:numFmt w:val="decimal"/>
      <w:lvlText w:val="%1."/>
      <w:lvlJc w:val="left"/>
      <w:pPr>
        <w:ind w:left="644" w:hanging="360"/>
      </w:pPr>
      <w:rPr>
        <w:rFonts w:ascii="Times New Roman" w:hAnsi="Times New Roman" w:hint="default"/>
        <w:sz w:val="20"/>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6" w15:restartNumberingAfterBreak="0">
    <w:nsid w:val="1A7D5703"/>
    <w:multiLevelType w:val="hybridMultilevel"/>
    <w:tmpl w:val="6D74695C"/>
    <w:lvl w:ilvl="0" w:tplc="68AE6804">
      <w:start w:val="1"/>
      <w:numFmt w:val="upperLetter"/>
      <w:lvlText w:val="%1."/>
      <w:lvlJc w:val="left"/>
      <w:pPr>
        <w:ind w:left="720" w:hanging="360"/>
      </w:pPr>
      <w:rPr>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5737318"/>
    <w:multiLevelType w:val="hybridMultilevel"/>
    <w:tmpl w:val="8786BE2C"/>
    <w:lvl w:ilvl="0" w:tplc="84A08E1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CF26CC7"/>
    <w:multiLevelType w:val="hybridMultilevel"/>
    <w:tmpl w:val="383000DA"/>
    <w:lvl w:ilvl="0" w:tplc="3ADEE956">
      <w:start w:val="15"/>
      <w:numFmt w:val="decimal"/>
      <w:lvlText w:val="(%1)"/>
      <w:lvlJc w:val="left"/>
      <w:pPr>
        <w:ind w:left="750" w:hanging="3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F8F3D59"/>
    <w:multiLevelType w:val="hybridMultilevel"/>
    <w:tmpl w:val="4E80D2BC"/>
    <w:lvl w:ilvl="0" w:tplc="1F2E7628">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3E672DF7"/>
    <w:multiLevelType w:val="hybridMultilevel"/>
    <w:tmpl w:val="3586CDEA"/>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1" w15:restartNumberingAfterBreak="0">
    <w:nsid w:val="471835C4"/>
    <w:multiLevelType w:val="hybridMultilevel"/>
    <w:tmpl w:val="46D26E78"/>
    <w:lvl w:ilvl="0" w:tplc="ECF8695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62050A2"/>
    <w:multiLevelType w:val="hybridMultilevel"/>
    <w:tmpl w:val="C42080B2"/>
    <w:lvl w:ilvl="0" w:tplc="683AE35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56F429E2"/>
    <w:multiLevelType w:val="hybridMultilevel"/>
    <w:tmpl w:val="981E3F78"/>
    <w:lvl w:ilvl="0" w:tplc="7ADCE9A2">
      <w:start w:val="16"/>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5D8B65DA"/>
    <w:multiLevelType w:val="hybridMultilevel"/>
    <w:tmpl w:val="61FC6846"/>
    <w:lvl w:ilvl="0" w:tplc="B55C1224">
      <w:start w:val="13"/>
      <w:numFmt w:val="decimal"/>
      <w:lvlText w:val="(%1)"/>
      <w:lvlJc w:val="left"/>
      <w:pPr>
        <w:ind w:left="750" w:hanging="39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6" w15:restartNumberingAfterBreak="0">
    <w:nsid w:val="7A665FF9"/>
    <w:multiLevelType w:val="hybridMultilevel"/>
    <w:tmpl w:val="BC7C8BD8"/>
    <w:lvl w:ilvl="0" w:tplc="FBE65C70">
      <w:start w:val="14"/>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num w:numId="1">
    <w:abstractNumId w:val="7"/>
  </w:num>
  <w:num w:numId="2">
    <w:abstractNumId w:val="1"/>
  </w:num>
  <w:num w:numId="3">
    <w:abstractNumId w:val="0"/>
  </w:num>
  <w:num w:numId="4">
    <w:abstractNumId w:val="6"/>
  </w:num>
  <w:num w:numId="5">
    <w:abstractNumId w:val="4"/>
  </w:num>
  <w:num w:numId="6">
    <w:abstractNumId w:val="15"/>
  </w:num>
  <w:num w:numId="7">
    <w:abstractNumId w:val="3"/>
  </w:num>
  <w:num w:numId="8">
    <w:abstractNumId w:val="9"/>
  </w:num>
  <w:num w:numId="9">
    <w:abstractNumId w:val="12"/>
  </w:num>
  <w:num w:numId="10">
    <w:abstractNumId w:val="16"/>
  </w:num>
  <w:num w:numId="11">
    <w:abstractNumId w:val="13"/>
  </w:num>
  <w:num w:numId="12">
    <w:abstractNumId w:val="15"/>
  </w:num>
  <w:num w:numId="13">
    <w:abstractNumId w:val="14"/>
  </w:num>
  <w:num w:numId="14">
    <w:abstractNumId w:val="2"/>
  </w:num>
  <w:num w:numId="15">
    <w:abstractNumId w:val="11"/>
  </w:num>
  <w:num w:numId="16">
    <w:abstractNumId w:val="5"/>
  </w:num>
  <w:num w:numId="17">
    <w:abstractNumId w:val="10"/>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1B2"/>
    <w:rsid w:val="00001E1F"/>
    <w:rsid w:val="00006E40"/>
    <w:rsid w:val="00051A53"/>
    <w:rsid w:val="00085DCC"/>
    <w:rsid w:val="00131AE9"/>
    <w:rsid w:val="00133F89"/>
    <w:rsid w:val="001910C9"/>
    <w:rsid w:val="001F77AE"/>
    <w:rsid w:val="00250F80"/>
    <w:rsid w:val="00286635"/>
    <w:rsid w:val="002E5D8A"/>
    <w:rsid w:val="00327225"/>
    <w:rsid w:val="003C35F7"/>
    <w:rsid w:val="003D7C9C"/>
    <w:rsid w:val="00402678"/>
    <w:rsid w:val="004F187D"/>
    <w:rsid w:val="0056476A"/>
    <w:rsid w:val="0057368F"/>
    <w:rsid w:val="005D1C9C"/>
    <w:rsid w:val="007E7624"/>
    <w:rsid w:val="0089430A"/>
    <w:rsid w:val="008E625C"/>
    <w:rsid w:val="00956FFD"/>
    <w:rsid w:val="009B2293"/>
    <w:rsid w:val="00A05148"/>
    <w:rsid w:val="00A150BE"/>
    <w:rsid w:val="00A23465"/>
    <w:rsid w:val="00A35CAA"/>
    <w:rsid w:val="00A54AAB"/>
    <w:rsid w:val="00A7208C"/>
    <w:rsid w:val="00AA7E94"/>
    <w:rsid w:val="00B61716"/>
    <w:rsid w:val="00B6656B"/>
    <w:rsid w:val="00BE61B2"/>
    <w:rsid w:val="00C027AC"/>
    <w:rsid w:val="00D52B8D"/>
    <w:rsid w:val="00D563D7"/>
    <w:rsid w:val="00E03912"/>
    <w:rsid w:val="00E358E8"/>
    <w:rsid w:val="00E712E4"/>
    <w:rsid w:val="00E751B7"/>
    <w:rsid w:val="00E91949"/>
    <w:rsid w:val="00EC1CF9"/>
    <w:rsid w:val="00EC76D9"/>
    <w:rsid w:val="00ED3BF8"/>
    <w:rsid w:val="00F14DD7"/>
    <w:rsid w:val="00F20FD3"/>
    <w:rsid w:val="00F54010"/>
    <w:rsid w:val="00F859DD"/>
    <w:rsid w:val="00FF384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346F547E"/>
  <w15:docId w15:val="{AE771778-85CC-464A-9B56-D96C865FC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uiPriority w:val="9"/>
    <w:qFormat/>
    <w:rsid w:val="00A23465"/>
    <w:pPr>
      <w:keepNext/>
      <w:spacing w:before="240" w:after="60"/>
      <w:jc w:val="center"/>
      <w:outlineLvl w:val="0"/>
    </w:pPr>
    <w:rPr>
      <w:rFonts w:ascii="Cambria" w:eastAsia="Times New Roman" w:hAnsi="Cambria" w:cs="Times New Roman"/>
      <w:b/>
      <w:bCs/>
      <w:kern w:val="32"/>
      <w:sz w:val="32"/>
      <w:szCs w:val="32"/>
      <w:lang w:val="x-none"/>
    </w:rPr>
  </w:style>
  <w:style w:type="paragraph" w:styleId="Nadpis2">
    <w:name w:val="heading 2"/>
    <w:basedOn w:val="Normlny"/>
    <w:next w:val="Normlny"/>
    <w:link w:val="Nadpis2Char"/>
    <w:uiPriority w:val="9"/>
    <w:unhideWhenUsed/>
    <w:qFormat/>
    <w:rsid w:val="00A23465"/>
    <w:pPr>
      <w:keepNext/>
      <w:spacing w:before="240" w:after="60"/>
      <w:jc w:val="center"/>
      <w:outlineLvl w:val="1"/>
    </w:pPr>
    <w:rPr>
      <w:rFonts w:ascii="Cambria" w:eastAsia="Times New Roman" w:hAnsi="Cambria" w:cs="Times New Roman"/>
      <w:b/>
      <w:bCs/>
      <w:i/>
      <w:iCs/>
      <w:sz w:val="28"/>
      <w:szCs w:val="28"/>
      <w:lang w:val="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BE6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BE61B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E61B2"/>
  </w:style>
  <w:style w:type="paragraph" w:styleId="Pta">
    <w:name w:val="footer"/>
    <w:basedOn w:val="Normlny"/>
    <w:link w:val="PtaChar"/>
    <w:uiPriority w:val="99"/>
    <w:unhideWhenUsed/>
    <w:rsid w:val="00BE61B2"/>
    <w:pPr>
      <w:tabs>
        <w:tab w:val="center" w:pos="4536"/>
        <w:tab w:val="right" w:pos="9072"/>
      </w:tabs>
      <w:spacing w:after="0" w:line="240" w:lineRule="auto"/>
    </w:pPr>
  </w:style>
  <w:style w:type="character" w:customStyle="1" w:styleId="PtaChar">
    <w:name w:val="Päta Char"/>
    <w:basedOn w:val="Predvolenpsmoodseku"/>
    <w:link w:val="Pta"/>
    <w:uiPriority w:val="99"/>
    <w:rsid w:val="00BE61B2"/>
  </w:style>
  <w:style w:type="paragraph" w:styleId="Textbubliny">
    <w:name w:val="Balloon Text"/>
    <w:basedOn w:val="Normlny"/>
    <w:link w:val="TextbublinyChar"/>
    <w:uiPriority w:val="99"/>
    <w:semiHidden/>
    <w:unhideWhenUsed/>
    <w:rsid w:val="00BE61B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E61B2"/>
    <w:rPr>
      <w:rFonts w:ascii="Tahoma" w:hAnsi="Tahoma" w:cs="Tahoma"/>
      <w:sz w:val="16"/>
      <w:szCs w:val="16"/>
    </w:rPr>
  </w:style>
  <w:style w:type="paragraph" w:styleId="Zkladntext">
    <w:name w:val="Body Text"/>
    <w:basedOn w:val="Normlny"/>
    <w:link w:val="ZkladntextChar"/>
    <w:rsid w:val="00BE61B2"/>
    <w:pPr>
      <w:spacing w:after="0" w:line="240" w:lineRule="auto"/>
      <w:ind w:left="426"/>
      <w:jc w:val="both"/>
    </w:pPr>
    <w:rPr>
      <w:rFonts w:ascii="Times New Roman" w:eastAsia="Times New Roman" w:hAnsi="Times New Roman" w:cs="Times New Roman"/>
      <w:sz w:val="18"/>
      <w:szCs w:val="20"/>
      <w:lang w:val="x-none"/>
    </w:rPr>
  </w:style>
  <w:style w:type="character" w:customStyle="1" w:styleId="ZkladntextChar">
    <w:name w:val="Základný text Char"/>
    <w:basedOn w:val="Predvolenpsmoodseku"/>
    <w:link w:val="Zkladntext"/>
    <w:rsid w:val="00BE61B2"/>
    <w:rPr>
      <w:rFonts w:ascii="Times New Roman" w:eastAsia="Times New Roman" w:hAnsi="Times New Roman" w:cs="Times New Roman"/>
      <w:sz w:val="18"/>
      <w:szCs w:val="20"/>
      <w:lang w:val="x-none"/>
    </w:rPr>
  </w:style>
  <w:style w:type="paragraph" w:styleId="Odsekzoznamu">
    <w:name w:val="List Paragraph"/>
    <w:basedOn w:val="Normlny"/>
    <w:uiPriority w:val="34"/>
    <w:qFormat/>
    <w:rsid w:val="00E751B7"/>
    <w:pPr>
      <w:ind w:left="720"/>
      <w:contextualSpacing/>
    </w:pPr>
  </w:style>
  <w:style w:type="character" w:customStyle="1" w:styleId="Nadpis2Char">
    <w:name w:val="Nadpis 2 Char"/>
    <w:basedOn w:val="Predvolenpsmoodseku"/>
    <w:link w:val="Nadpis2"/>
    <w:uiPriority w:val="9"/>
    <w:rsid w:val="00A23465"/>
    <w:rPr>
      <w:rFonts w:ascii="Cambria" w:eastAsia="Times New Roman" w:hAnsi="Cambria" w:cs="Times New Roman"/>
      <w:b/>
      <w:bCs/>
      <w:i/>
      <w:iCs/>
      <w:sz w:val="28"/>
      <w:szCs w:val="28"/>
      <w:lang w:val="x-none"/>
    </w:rPr>
  </w:style>
  <w:style w:type="character" w:customStyle="1" w:styleId="Nadpis1Char">
    <w:name w:val="Nadpis 1 Char"/>
    <w:basedOn w:val="Predvolenpsmoodseku"/>
    <w:link w:val="Nadpis1"/>
    <w:uiPriority w:val="9"/>
    <w:rsid w:val="00A23465"/>
    <w:rPr>
      <w:rFonts w:ascii="Cambria" w:eastAsia="Times New Roman" w:hAnsi="Cambria" w:cs="Times New Roman"/>
      <w:b/>
      <w:bCs/>
      <w:kern w:val="32"/>
      <w:sz w:val="32"/>
      <w:szCs w:val="32"/>
      <w:lang w:val="x-none"/>
    </w:rPr>
  </w:style>
  <w:style w:type="paragraph" w:customStyle="1" w:styleId="Pismenka">
    <w:name w:val="Pismenka"/>
    <w:basedOn w:val="Zkladntext"/>
    <w:rsid w:val="002E5D8A"/>
    <w:pPr>
      <w:numPr>
        <w:numId w:val="6"/>
      </w:numPr>
    </w:pPr>
    <w:rPr>
      <w:b/>
    </w:rPr>
  </w:style>
  <w:style w:type="paragraph" w:customStyle="1" w:styleId="Tabulka">
    <w:name w:val="Tabulka"/>
    <w:basedOn w:val="Normlny"/>
    <w:rsid w:val="002E5D8A"/>
    <w:pPr>
      <w:spacing w:after="0" w:line="240" w:lineRule="auto"/>
    </w:pPr>
    <w:rPr>
      <w:rFonts w:ascii="Times New Roman" w:eastAsia="Times New Roman" w:hAnsi="Times New Roman" w:cs="Times New Roman"/>
      <w:color w:val="000000"/>
      <w:sz w:val="18"/>
      <w:szCs w:val="20"/>
    </w:rPr>
  </w:style>
  <w:style w:type="character" w:customStyle="1" w:styleId="apple-converted-space">
    <w:name w:val="apple-converted-space"/>
    <w:basedOn w:val="Predvolenpsmoodseku"/>
    <w:rsid w:val="00F859DD"/>
  </w:style>
  <w:style w:type="character" w:customStyle="1" w:styleId="ra">
    <w:name w:val="ra"/>
    <w:basedOn w:val="Predvolenpsmoodseku"/>
    <w:rsid w:val="00F85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H_rok_programu_Microsoft_Excel_97-20032.xls"/><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H_rok_programu_Microsoft_Excel_97-20031.xls"/><Relationship Id="rId5" Type="http://schemas.openxmlformats.org/officeDocument/2006/relationships/webSettings" Target="webSettings.xml"/><Relationship Id="rId15" Type="http://schemas.openxmlformats.org/officeDocument/2006/relationships/oleObject" Target="embeddings/H_rok_programu_Microsoft_Excel_97-20033.xls"/><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H_rok_programu_Microsoft_Excel_97-2003.xls"/><Relationship Id="rId14" Type="http://schemas.openxmlformats.org/officeDocument/2006/relationships/image" Target="media/image4.e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9ECB4-A104-4A6F-B919-CC77F01B8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1844</Words>
  <Characters>10516</Characters>
  <Application>Microsoft Office Word</Application>
  <DocSecurity>0</DocSecurity>
  <Lines>87</Lines>
  <Paragraphs>24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LENOVO</cp:lastModifiedBy>
  <cp:revision>2</cp:revision>
  <cp:lastPrinted>2022-03-25T12:37:00Z</cp:lastPrinted>
  <dcterms:created xsi:type="dcterms:W3CDTF">2023-03-28T22:31:00Z</dcterms:created>
  <dcterms:modified xsi:type="dcterms:W3CDTF">2023-03-28T22:31:00Z</dcterms:modified>
</cp:coreProperties>
</file>