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tbl>
      <w:tblPr>
        <w:tblStyle w:val="4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30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keepNext/>
              <w:spacing w:before="0" w:beforeLines="0" w:afterLines="0" w:line="240" w:lineRule="auto"/>
              <w:jc w:val="left"/>
              <w:outlineLvl w:val="2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keepNext/>
              <w:spacing w:before="0" w:beforeLines="0" w:afterLines="0" w:line="240" w:lineRule="auto"/>
              <w:jc w:val="right"/>
              <w:outlineLvl w:val="2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/>
              <w:spacing w:before="0" w:beforeLines="0" w:afterLines="0" w:line="240" w:lineRule="auto"/>
              <w:outlineLvl w:val="2"/>
              <w:rPr>
                <w:rFonts w:hint="default" w:cs="Arial"/>
                <w:b/>
                <w:sz w:val="22"/>
                <w:szCs w:val="22"/>
                <w:lang w:val="sk-SK"/>
              </w:rPr>
            </w:pPr>
            <w:r>
              <w:rPr>
                <w:rFonts w:hint="default" w:cs="Arial"/>
                <w:b/>
                <w:sz w:val="22"/>
                <w:szCs w:val="22"/>
                <w:lang w:val="sk-SK"/>
              </w:rPr>
              <w:t>4</w:t>
            </w: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/>
              <w:spacing w:before="0" w:beforeLines="0" w:afterLines="0" w:line="240" w:lineRule="auto"/>
              <w:outlineLvl w:val="2"/>
              <w:rPr>
                <w:rFonts w:hint="default" w:cs="Arial"/>
                <w:b/>
                <w:sz w:val="22"/>
                <w:szCs w:val="22"/>
                <w:lang w:val="sk-SK"/>
              </w:rPr>
            </w:pPr>
            <w:r>
              <w:rPr>
                <w:rFonts w:hint="default" w:cs="Arial"/>
                <w:b/>
                <w:sz w:val="22"/>
                <w:szCs w:val="22"/>
                <w:lang w:val="sk-SK"/>
              </w:rPr>
              <w:t>6</w:t>
            </w: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/>
              <w:spacing w:before="0" w:beforeLines="0" w:afterLines="0" w:line="240" w:lineRule="auto"/>
              <w:outlineLvl w:val="2"/>
              <w:rPr>
                <w:rFonts w:hint="default" w:cs="Arial"/>
                <w:b/>
                <w:sz w:val="22"/>
                <w:szCs w:val="22"/>
                <w:lang w:val="sk-SK"/>
              </w:rPr>
            </w:pPr>
            <w:r>
              <w:rPr>
                <w:rFonts w:hint="default" w:cs="Arial"/>
                <w:b/>
                <w:sz w:val="22"/>
                <w:szCs w:val="22"/>
                <w:lang w:val="sk-SK"/>
              </w:rPr>
              <w:t>7</w:t>
            </w: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/>
              <w:spacing w:before="0" w:beforeLines="0" w:afterLines="0" w:line="240" w:lineRule="auto"/>
              <w:outlineLvl w:val="2"/>
              <w:rPr>
                <w:rFonts w:hint="default" w:cs="Arial"/>
                <w:b/>
                <w:sz w:val="22"/>
                <w:szCs w:val="22"/>
                <w:lang w:val="sk-SK"/>
              </w:rPr>
            </w:pPr>
            <w:r>
              <w:rPr>
                <w:rFonts w:hint="default" w:cs="Arial"/>
                <w:b/>
                <w:sz w:val="22"/>
                <w:szCs w:val="22"/>
                <w:lang w:val="sk-SK"/>
              </w:rPr>
              <w:t>6</w:t>
            </w: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/>
              <w:spacing w:before="0" w:beforeLines="0" w:afterLines="0" w:line="240" w:lineRule="auto"/>
              <w:outlineLvl w:val="2"/>
              <w:rPr>
                <w:rFonts w:hint="default" w:cs="Arial"/>
                <w:b/>
                <w:sz w:val="22"/>
                <w:szCs w:val="22"/>
                <w:lang w:val="sk-SK"/>
              </w:rPr>
            </w:pPr>
            <w:r>
              <w:rPr>
                <w:rFonts w:hint="default" w:cs="Arial"/>
                <w:b/>
                <w:sz w:val="22"/>
                <w:szCs w:val="22"/>
                <w:lang w:val="sk-SK"/>
              </w:rPr>
              <w:t>9</w:t>
            </w: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/>
              <w:spacing w:before="0" w:beforeLines="0" w:afterLines="0" w:line="240" w:lineRule="auto"/>
              <w:outlineLvl w:val="2"/>
              <w:rPr>
                <w:rFonts w:hint="default" w:cs="Arial"/>
                <w:b/>
                <w:sz w:val="22"/>
                <w:szCs w:val="22"/>
                <w:lang w:val="sk-SK"/>
              </w:rPr>
            </w:pPr>
            <w:r>
              <w:rPr>
                <w:rFonts w:hint="default" w:cs="Arial"/>
                <w:b/>
                <w:sz w:val="22"/>
                <w:szCs w:val="22"/>
                <w:lang w:val="sk-SK"/>
              </w:rPr>
              <w:t>2</w:t>
            </w: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/>
              <w:spacing w:before="0" w:beforeLines="0" w:afterLines="0" w:line="240" w:lineRule="auto"/>
              <w:outlineLvl w:val="2"/>
              <w:rPr>
                <w:rFonts w:hint="default" w:cs="Arial"/>
                <w:b/>
                <w:sz w:val="22"/>
                <w:szCs w:val="22"/>
                <w:lang w:val="sk-SK"/>
              </w:rPr>
            </w:pPr>
            <w:r>
              <w:rPr>
                <w:rFonts w:hint="default" w:cs="Arial"/>
                <w:b/>
                <w:sz w:val="22"/>
                <w:szCs w:val="22"/>
                <w:lang w:val="sk-SK"/>
              </w:rPr>
              <w:t>4</w:t>
            </w: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/>
              <w:spacing w:before="0" w:beforeLines="0" w:afterLines="0" w:line="240" w:lineRule="auto"/>
              <w:outlineLvl w:val="2"/>
              <w:rPr>
                <w:rFonts w:hint="default" w:cs="Arial"/>
                <w:b/>
                <w:sz w:val="22"/>
                <w:szCs w:val="22"/>
                <w:lang w:val="sk-SK"/>
              </w:rPr>
            </w:pPr>
            <w:r>
              <w:rPr>
                <w:rFonts w:hint="default" w:cs="Arial"/>
                <w:b/>
                <w:sz w:val="22"/>
                <w:szCs w:val="22"/>
                <w:lang w:val="sk-SK"/>
              </w:rPr>
              <w:t>2</w:t>
            </w: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/>
              <w:spacing w:before="0" w:beforeLines="0" w:afterLines="0" w:line="240" w:lineRule="auto"/>
              <w:outlineLvl w:val="2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/>
              <w:spacing w:before="0" w:beforeLines="0" w:afterLines="0" w:line="240" w:lineRule="auto"/>
              <w:outlineLvl w:val="2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/>
              <w:spacing w:before="0" w:beforeLines="0" w:afterLines="0" w:line="240" w:lineRule="auto"/>
              <w:outlineLvl w:val="2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/>
              <w:spacing w:before="0" w:beforeLines="0" w:afterLines="0" w:line="240" w:lineRule="auto"/>
              <w:outlineLvl w:val="2"/>
              <w:rPr>
                <w:rFonts w:hint="default" w:cs="Arial"/>
                <w:b/>
                <w:sz w:val="22"/>
                <w:szCs w:val="22"/>
              </w:rPr>
            </w:pPr>
          </w:p>
        </w:tc>
      </w:tr>
    </w:tbl>
    <w:p>
      <w:pPr>
        <w:keepNext/>
        <w:spacing w:before="0" w:beforeLines="0" w:afterLines="0" w:line="240" w:lineRule="auto"/>
        <w:outlineLvl w:val="2"/>
        <w:rPr>
          <w:rFonts w:hint="default" w:cs="Arial"/>
          <w:b/>
          <w:sz w:val="22"/>
          <w:szCs w:val="22"/>
        </w:rPr>
      </w:pPr>
    </w:p>
    <w:p>
      <w:pPr>
        <w:keepNext/>
        <w:spacing w:before="0" w:beforeLines="0" w:afterLines="0" w:line="240" w:lineRule="auto"/>
        <w:jc w:val="center"/>
        <w:outlineLvl w:val="2"/>
        <w:rPr>
          <w:rFonts w:hint="default" w:cs="Arial"/>
          <w:b/>
          <w:sz w:val="22"/>
          <w:szCs w:val="22"/>
        </w:rPr>
      </w:pPr>
      <w:r>
        <w:rPr>
          <w:rFonts w:hint="default" w:cs="Arial"/>
          <w:b/>
          <w:sz w:val="22"/>
          <w:szCs w:val="22"/>
        </w:rPr>
        <w:t>Čl. I</w:t>
      </w:r>
    </w:p>
    <w:p>
      <w:pPr>
        <w:keepNext/>
        <w:spacing w:before="0" w:beforeLines="0" w:afterLines="0" w:line="240" w:lineRule="auto"/>
        <w:jc w:val="center"/>
        <w:outlineLvl w:val="1"/>
        <w:rPr>
          <w:rFonts w:hint="default" w:cs="Arial"/>
          <w:b/>
          <w:sz w:val="22"/>
          <w:szCs w:val="22"/>
        </w:rPr>
      </w:pPr>
      <w:r>
        <w:rPr>
          <w:rFonts w:hint="default" w:cs="Arial"/>
          <w:b/>
          <w:sz w:val="22"/>
          <w:szCs w:val="22"/>
        </w:rPr>
        <w:t>Všeobecné informácie</w:t>
      </w:r>
    </w:p>
    <w:p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(3) Opis činnosti, na účel ktorej bola účtovná jednotka zriadená a opis druhu podnikateľskej činnosti, ak ju účtovná jednotka vykonáva.</w:t>
      </w:r>
    </w:p>
    <w:p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obdobie“). Počet dobrovoľníkov vyslaných účtovnou jednotkou a počet dobrovoľníkov, ktorí vykonávali dobrovoľnícku činnosť pre účtovnú jednotku počas bežného účtovného obdobia. </w:t>
      </w:r>
    </w:p>
    <w:tbl>
      <w:tblPr>
        <w:tblStyle w:val="4"/>
        <w:tblW w:w="0" w:type="auto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57"/>
        <w:gridCol w:w="1843"/>
        <w:gridCol w:w="2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5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pStyle w:val="20"/>
              <w:numPr>
                <w:ilvl w:val="0"/>
                <w:numId w:val="0"/>
              </w:numPr>
              <w:tabs>
                <w:tab w:val="clear" w:pos="1440"/>
              </w:tabs>
              <w:spacing w:before="0" w:beforeLines="0" w:after="0" w:afterLines="0"/>
              <w:ind w:left="0" w:firstLine="0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lang w:eastAsia="sk-SK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lang w:eastAsia="sk-SK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91" w:hRule="atLeast"/>
        </w:trPr>
        <w:tc>
          <w:tcPr>
            <w:tcW w:w="5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20"/>
              <w:numPr>
                <w:ilvl w:val="0"/>
                <w:numId w:val="0"/>
              </w:numPr>
              <w:tabs>
                <w:tab w:val="clear" w:pos="1440"/>
              </w:tabs>
              <w:spacing w:before="0" w:beforeLines="0" w:after="0" w:afterLines="0"/>
              <w:ind w:left="0" w:firstLine="0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20"/>
              <w:numPr>
                <w:ilvl w:val="0"/>
                <w:numId w:val="0"/>
              </w:numPr>
              <w:tabs>
                <w:tab w:val="clear" w:pos="1440"/>
              </w:tabs>
              <w:spacing w:before="0" w:beforeLines="0" w:after="0" w:afterLines="0"/>
              <w:ind w:left="0" w:firstLine="0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20"/>
              <w:numPr>
                <w:ilvl w:val="0"/>
                <w:numId w:val="0"/>
              </w:numPr>
              <w:tabs>
                <w:tab w:val="clear" w:pos="1440"/>
              </w:tabs>
              <w:spacing w:before="0" w:beforeLines="0" w:after="0" w:afterLines="0"/>
              <w:ind w:left="0" w:firstLine="0"/>
              <w:jc w:val="center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91" w:hRule="atLeast"/>
        </w:trPr>
        <w:tc>
          <w:tcPr>
            <w:tcW w:w="5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20"/>
              <w:numPr>
                <w:ilvl w:val="0"/>
                <w:numId w:val="0"/>
              </w:numPr>
              <w:tabs>
                <w:tab w:val="clear" w:pos="1440"/>
              </w:tabs>
              <w:spacing w:before="0" w:beforeLines="0" w:after="0" w:afterLines="0"/>
              <w:ind w:left="0" w:firstLine="0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z toho  počet vedúcich zamestnancov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20"/>
              <w:numPr>
                <w:ilvl w:val="0"/>
                <w:numId w:val="0"/>
              </w:numPr>
              <w:tabs>
                <w:tab w:val="clear" w:pos="1440"/>
              </w:tabs>
              <w:spacing w:before="0" w:beforeLines="0" w:after="0" w:afterLines="0"/>
              <w:ind w:left="0" w:firstLine="0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20"/>
              <w:numPr>
                <w:ilvl w:val="0"/>
                <w:numId w:val="0"/>
              </w:numPr>
              <w:tabs>
                <w:tab w:val="clear" w:pos="1440"/>
              </w:tabs>
              <w:spacing w:before="0" w:beforeLines="0" w:after="0" w:afterLines="0"/>
              <w:ind w:left="0" w:firstLine="0"/>
              <w:jc w:val="center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91" w:hRule="atLeast"/>
        </w:trPr>
        <w:tc>
          <w:tcPr>
            <w:tcW w:w="5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20"/>
              <w:numPr>
                <w:ilvl w:val="0"/>
                <w:numId w:val="0"/>
              </w:numPr>
              <w:tabs>
                <w:tab w:val="clear" w:pos="1440"/>
              </w:tabs>
              <w:spacing w:before="0" w:beforeLines="0" w:after="0" w:afterLines="0"/>
              <w:ind w:left="0" w:firstLine="0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 xml:space="preserve">Počet dobrovoľníkov vyslaných účtovnou jednotkou 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20"/>
              <w:numPr>
                <w:ilvl w:val="0"/>
                <w:numId w:val="0"/>
              </w:numPr>
              <w:tabs>
                <w:tab w:val="clear" w:pos="1440"/>
              </w:tabs>
              <w:spacing w:before="0" w:beforeLines="0" w:after="0" w:afterLines="0"/>
              <w:ind w:left="0" w:firstLine="0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20"/>
              <w:numPr>
                <w:ilvl w:val="0"/>
                <w:numId w:val="0"/>
              </w:numPr>
              <w:tabs>
                <w:tab w:val="clear" w:pos="1440"/>
              </w:tabs>
              <w:spacing w:before="0" w:beforeLines="0" w:after="0" w:afterLines="0"/>
              <w:ind w:left="0" w:firstLine="0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91" w:hRule="atLeast"/>
        </w:trPr>
        <w:tc>
          <w:tcPr>
            <w:tcW w:w="5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20"/>
              <w:numPr>
                <w:ilvl w:val="0"/>
                <w:numId w:val="0"/>
              </w:numPr>
              <w:tabs>
                <w:tab w:val="clear" w:pos="1440"/>
              </w:tabs>
              <w:spacing w:before="0" w:beforeLines="0" w:after="0" w:afterLines="0"/>
              <w:ind w:left="0" w:firstLine="0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20"/>
              <w:numPr>
                <w:ilvl w:val="0"/>
                <w:numId w:val="0"/>
              </w:numPr>
              <w:tabs>
                <w:tab w:val="clear" w:pos="1440"/>
              </w:tabs>
              <w:spacing w:before="0" w:beforeLines="0" w:after="0" w:afterLines="0"/>
              <w:ind w:left="0" w:firstLine="0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20"/>
              <w:numPr>
                <w:ilvl w:val="0"/>
                <w:numId w:val="0"/>
              </w:numPr>
              <w:tabs>
                <w:tab w:val="clear" w:pos="1440"/>
              </w:tabs>
              <w:spacing w:before="0" w:beforeLines="0" w:after="0" w:afterLines="0"/>
              <w:ind w:left="0" w:firstLine="0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>
      <w:pPr>
        <w:spacing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(5) Organizačná štruktúra účtovnej jednotky.</w:t>
      </w:r>
    </w:p>
    <w:p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(6) Informácia o organizáciách v zriaďovateľskej pôsobnosti účtovnej jednotky. </w:t>
      </w:r>
    </w:p>
    <w:p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</w:p>
    <w:p>
      <w:pPr>
        <w:keepNext/>
        <w:spacing w:before="0" w:beforeLines="0" w:afterLines="0" w:line="240" w:lineRule="auto"/>
        <w:jc w:val="center"/>
        <w:outlineLvl w:val="0"/>
        <w:rPr>
          <w:rFonts w:hint="default" w:cs="Arial"/>
          <w:b/>
          <w:kern w:val="32"/>
          <w:sz w:val="22"/>
          <w:szCs w:val="22"/>
        </w:rPr>
      </w:pPr>
      <w:r>
        <w:rPr>
          <w:rFonts w:hint="default" w:cs="Arial"/>
          <w:b/>
          <w:kern w:val="32"/>
          <w:sz w:val="22"/>
          <w:szCs w:val="22"/>
        </w:rPr>
        <w:t>Čl. II</w:t>
      </w:r>
    </w:p>
    <w:p>
      <w:pPr>
        <w:keepNext/>
        <w:spacing w:before="0" w:beforeLines="0" w:afterLines="0" w:line="240" w:lineRule="auto"/>
        <w:jc w:val="center"/>
        <w:outlineLvl w:val="1"/>
        <w:rPr>
          <w:rFonts w:hint="default" w:cs="Arial"/>
          <w:b/>
          <w:sz w:val="22"/>
          <w:szCs w:val="22"/>
        </w:rPr>
      </w:pPr>
      <w:r>
        <w:rPr>
          <w:rFonts w:hint="default" w:cs="Arial"/>
          <w:b/>
          <w:sz w:val="22"/>
          <w:szCs w:val="22"/>
        </w:rPr>
        <w:t>Informácie o účtovných zásadách a účtovných metódach</w:t>
      </w:r>
    </w:p>
    <w:p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(3) Spôsoby ocenenia jednotlivých položiek majetku a záväzkov.</w:t>
      </w:r>
    </w:p>
    <w:p>
      <w:pPr>
        <w:spacing w:before="0" w:beforeLines="0" w:after="24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(4)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8"/>
        <w:gridCol w:w="2548"/>
        <w:gridCol w:w="2549"/>
        <w:gridCol w:w="25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wBefore w:w="0" w:type="dxa"/>
          <w:trHeight w:val="416" w:hRule="atLeast"/>
        </w:trPr>
        <w:tc>
          <w:tcPr>
            <w:tcW w:w="2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keepNext/>
              <w:spacing w:before="0" w:beforeLines="0" w:after="24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keepNext/>
              <w:spacing w:before="0" w:beforeLines="0" w:after="24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keepNext/>
              <w:spacing w:before="0" w:beforeLines="0" w:after="24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keepNext/>
              <w:spacing w:before="0" w:beforeLines="0" w:after="24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Odpisová metóda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74" w:hRule="atLeast"/>
        </w:trPr>
        <w:tc>
          <w:tcPr>
            <w:tcW w:w="2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74" w:hRule="atLeast"/>
        </w:trPr>
        <w:tc>
          <w:tcPr>
            <w:tcW w:w="2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74" w:hRule="atLeast"/>
        </w:trPr>
        <w:tc>
          <w:tcPr>
            <w:tcW w:w="2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(5) Zásady pre zohľadnenie zníženia hodnoty majetku. Uvádza sa, či účtovná jednotka uplatňuje opravné položky a rezervy.</w:t>
      </w:r>
    </w:p>
    <w:p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(6) 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p>
      <w:pPr>
        <w:keepNext/>
        <w:spacing w:before="240" w:beforeLines="0" w:afterLines="0" w:line="240" w:lineRule="auto"/>
        <w:jc w:val="center"/>
        <w:outlineLvl w:val="0"/>
        <w:rPr>
          <w:rFonts w:hint="default" w:cs="Arial"/>
          <w:b/>
          <w:kern w:val="32"/>
          <w:sz w:val="22"/>
          <w:szCs w:val="22"/>
        </w:rPr>
      </w:pPr>
      <w:r>
        <w:rPr>
          <w:rFonts w:hint="default" w:cs="Arial"/>
          <w:b/>
          <w:kern w:val="32"/>
          <w:sz w:val="22"/>
          <w:szCs w:val="22"/>
        </w:rPr>
        <w:t>Čl. III</w:t>
      </w:r>
    </w:p>
    <w:p>
      <w:pPr>
        <w:keepNext/>
        <w:spacing w:before="0" w:beforeLines="0" w:afterLines="0" w:line="240" w:lineRule="auto"/>
        <w:jc w:val="center"/>
        <w:outlineLvl w:val="1"/>
        <w:rPr>
          <w:rFonts w:hint="default" w:cs="Arial"/>
          <w:b/>
          <w:sz w:val="22"/>
          <w:szCs w:val="22"/>
        </w:rPr>
      </w:pPr>
      <w:r>
        <w:rPr>
          <w:rFonts w:hint="default" w:cs="Arial"/>
          <w:b/>
          <w:sz w:val="22"/>
          <w:szCs w:val="22"/>
        </w:rPr>
        <w:t>Informácie, ktoré dopĺňajú a vysvetľujú údaje v súvahe</w:t>
      </w:r>
    </w:p>
    <w:p>
      <w:pPr>
        <w:numPr>
          <w:ilvl w:val="0"/>
          <w:numId w:val="5"/>
        </w:numPr>
        <w:spacing w:before="0"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Významné sumy prírastkov a úbytkov dlhodobého nehmotného majetku a dlhodobého hmotného majetku.</w:t>
      </w:r>
    </w:p>
    <w:p>
      <w:pPr>
        <w:numPr>
          <w:ilvl w:val="0"/>
          <w:numId w:val="5"/>
        </w:numPr>
        <w:spacing w:before="0"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Prehľad dlhodobého majetku, na ktorý je zriadené záložné právo a prehľad dlhodobého majetku, pri ktorom má účtovná jednotka obmedzené právo s ním nakladať.</w:t>
      </w:r>
    </w:p>
    <w:p>
      <w:pPr>
        <w:numPr>
          <w:ilvl w:val="0"/>
          <w:numId w:val="5"/>
        </w:numPr>
        <w:spacing w:before="0"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Údaje o štruktúre dlhodobého finančného majetku za bežné účtovné obdobie a jeho umiestnenie v členení podľa položiek súvahy v riadkoch 022 a 023.</w:t>
      </w:r>
    </w:p>
    <w:tbl>
      <w:tblPr>
        <w:tblStyle w:val="4"/>
        <w:tblW w:w="10022" w:type="dxa"/>
        <w:tblInd w:w="1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19"/>
        <w:gridCol w:w="2409"/>
        <w:gridCol w:w="26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99" w:hRule="atLeast"/>
        </w:trPr>
        <w:tc>
          <w:tcPr>
            <w:tcW w:w="491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240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Podiel účtovnej jednotky na hlasovacích právach</w:t>
            </w:r>
          </w:p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(v %)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1073" w:hRule="atLeast"/>
        </w:trPr>
        <w:tc>
          <w:tcPr>
            <w:tcW w:w="49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26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74" w:hRule="atLeast"/>
        </w:trPr>
        <w:tc>
          <w:tcPr>
            <w:tcW w:w="49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  <w:lang w:val="sk-SK"/>
              </w:rPr>
            </w:pPr>
            <w:r>
              <w:rPr>
                <w:rFonts w:hint="default" w:ascii="Arial" w:cs="Arial"/>
                <w:sz w:val="16"/>
                <w:szCs w:val="16"/>
                <w:lang w:val="sk-SK"/>
              </w:rPr>
              <w:t>Solomon Stav s.r.o.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ascii="Arial" w:cs="Arial"/>
                <w:sz w:val="16"/>
                <w:szCs w:val="16"/>
                <w:lang w:val="sk-SK"/>
              </w:rPr>
            </w:pPr>
            <w:r>
              <w:rPr>
                <w:rFonts w:hint="default" w:asci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2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ascii="Arial" w:cs="Arial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74" w:hRule="atLeast"/>
        </w:trPr>
        <w:tc>
          <w:tcPr>
            <w:tcW w:w="49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asci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ascii="Arial" w:cs="Arial"/>
                <w:sz w:val="16"/>
                <w:szCs w:val="16"/>
              </w:rPr>
            </w:pPr>
          </w:p>
        </w:tc>
      </w:tr>
    </w:tbl>
    <w:p>
      <w:pPr>
        <w:numPr>
          <w:ilvl w:val="0"/>
          <w:numId w:val="5"/>
        </w:numPr>
        <w:spacing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Údaje o štruktúre dlhodobého finančného majetku a krátkodobého finančného majetku v členení podľa položiek súvahy v riadkoch 024, 026 a 055.</w:t>
      </w:r>
    </w:p>
    <w:tbl>
      <w:tblPr>
        <w:tblStyle w:val="4"/>
        <w:tblW w:w="0" w:type="auto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55"/>
        <w:gridCol w:w="3351"/>
        <w:gridCol w:w="33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wBefore w:w="0" w:type="dxa"/>
        </w:trPr>
        <w:tc>
          <w:tcPr>
            <w:tcW w:w="3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keepNext/>
              <w:spacing w:beforeLines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/>
              <w:spacing w:beforeLines="0" w:afterLines="0" w:line="240" w:lineRule="auto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hint="default"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/>
              <w:spacing w:beforeLines="0" w:afterLines="0" w:line="240" w:lineRule="auto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74" w:hRule="atLeast"/>
        </w:trPr>
        <w:tc>
          <w:tcPr>
            <w:tcW w:w="3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74" w:hRule="atLeast"/>
        </w:trPr>
        <w:tc>
          <w:tcPr>
            <w:tcW w:w="3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</w:rPr>
            </w:pPr>
          </w:p>
        </w:tc>
      </w:tr>
    </w:tbl>
    <w:p>
      <w:pPr>
        <w:numPr>
          <w:ilvl w:val="0"/>
          <w:numId w:val="5"/>
        </w:numPr>
        <w:spacing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Údaje o štruktúre dlhodobých pôžičiek.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50"/>
        <w:gridCol w:w="3351"/>
        <w:gridCol w:w="335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wBefore w:w="0" w:type="dxa"/>
        </w:trPr>
        <w:tc>
          <w:tcPr>
            <w:tcW w:w="3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keepNext/>
              <w:spacing w:beforeLines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/>
              <w:spacing w:beforeLines="0" w:afterLines="0" w:line="240" w:lineRule="auto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hint="default"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/>
              <w:spacing w:beforeLines="0" w:afterLines="0" w:line="240" w:lineRule="auto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74" w:hRule="atLeast"/>
        </w:trPr>
        <w:tc>
          <w:tcPr>
            <w:tcW w:w="3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74" w:hRule="atLeast"/>
        </w:trPr>
        <w:tc>
          <w:tcPr>
            <w:tcW w:w="3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</w:rPr>
            </w:pPr>
          </w:p>
        </w:tc>
      </w:tr>
    </w:tbl>
    <w:p>
      <w:pPr>
        <w:keepNext/>
        <w:numPr>
          <w:ilvl w:val="0"/>
          <w:numId w:val="5"/>
        </w:numPr>
        <w:spacing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Prehľad  o vývoji významných súm opravných položiek podľa jednotlivých druhov majetku.</w:t>
      </w:r>
    </w:p>
    <w:tbl>
      <w:tblPr>
        <w:tblStyle w:val="4"/>
        <w:tblW w:w="10135" w:type="dxa"/>
        <w:tblInd w:w="1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7"/>
        <w:gridCol w:w="1984"/>
        <w:gridCol w:w="1843"/>
        <w:gridCol w:w="1984"/>
        <w:gridCol w:w="21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2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Druh majetku, ku ktorému sa tvorí opravná položka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 xml:space="preserve">Stav opravnej položky na </w:t>
            </w:r>
            <w:r>
              <w:rPr>
                <w:rFonts w:hint="default"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Zúčtovanie opravnej položky</w:t>
            </w:r>
          </w:p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opravnej položky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74" w:hRule="atLeast"/>
        </w:trPr>
        <w:tc>
          <w:tcPr>
            <w:tcW w:w="2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74" w:hRule="atLeast"/>
        </w:trPr>
        <w:tc>
          <w:tcPr>
            <w:tcW w:w="2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74" w:hRule="atLeast"/>
        </w:trPr>
        <w:tc>
          <w:tcPr>
            <w:tcW w:w="2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>
      <w:pPr>
        <w:numPr>
          <w:ilvl w:val="0"/>
          <w:numId w:val="5"/>
        </w:numPr>
        <w:spacing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Opis významných súm pohľadávok</w:t>
      </w:r>
      <w:r>
        <w:rPr>
          <w:rFonts w:hint="default" w:cs="Arial"/>
          <w:b/>
          <w:sz w:val="22"/>
          <w:szCs w:val="22"/>
        </w:rPr>
        <w:t xml:space="preserve"> </w:t>
      </w:r>
      <w:r>
        <w:rPr>
          <w:rFonts w:hint="default" w:cs="Arial"/>
          <w:sz w:val="22"/>
          <w:szCs w:val="22"/>
        </w:rPr>
        <w:t>v nadväznosti na položky súvahy, v členení na pohľadávky za hlavnú nezdaňovanú činnosť a zdaňovanú činnosť za bežné účtovné obdobie.</w:t>
      </w:r>
    </w:p>
    <w:tbl>
      <w:tblPr>
        <w:tblStyle w:val="4"/>
        <w:tblW w:w="9738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68"/>
        <w:gridCol w:w="2977"/>
        <w:gridCol w:w="26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Zdaňovaná činnosť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>
      <w:pPr>
        <w:keepNext/>
        <w:numPr>
          <w:ilvl w:val="0"/>
          <w:numId w:val="5"/>
        </w:numPr>
        <w:spacing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b/>
          <w:sz w:val="22"/>
          <w:szCs w:val="22"/>
        </w:rPr>
        <w:t xml:space="preserve"> </w:t>
      </w:r>
      <w:r>
        <w:rPr>
          <w:rFonts w:hint="default" w:cs="Arial"/>
          <w:sz w:val="22"/>
          <w:szCs w:val="22"/>
        </w:rPr>
        <w:t>Prehľad pohľadávok do uplynutia lehoty splatnosti a po uplynutí lehoty splatnosti.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9"/>
        <w:gridCol w:w="3588"/>
        <w:gridCol w:w="34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/>
              <w:spacing w:before="0" w:beforeLines="0" w:afterLines="0" w:line="240" w:lineRule="auto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/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lang w:eastAsia="sk-SK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hint="default"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keepNext/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lang w:eastAsia="sk-SK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Spolu</w:t>
            </w:r>
          </w:p>
        </w:tc>
        <w:tc>
          <w:tcPr>
            <w:tcW w:w="35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</w:p>
        </w:tc>
      </w:tr>
    </w:tbl>
    <w:p>
      <w:pPr>
        <w:numPr>
          <w:ilvl w:val="0"/>
          <w:numId w:val="5"/>
        </w:numPr>
        <w:spacing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Prehľad o významných položkách časového rozlíšenia nákladov budúcich období a príjmov budúcich období.</w:t>
      </w:r>
    </w:p>
    <w:p>
      <w:pPr>
        <w:numPr>
          <w:ilvl w:val="0"/>
          <w:numId w:val="5"/>
        </w:numPr>
        <w:spacing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Opis a výška zmien vlastného imania v priebehu bežného účtovného obdobia podľa položiek súvahy.</w:t>
      </w:r>
    </w:p>
    <w:tbl>
      <w:tblPr>
        <w:tblStyle w:val="4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02"/>
        <w:gridCol w:w="2026"/>
        <w:gridCol w:w="1431"/>
        <w:gridCol w:w="1273"/>
        <w:gridCol w:w="1396"/>
        <w:gridCol w:w="18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hint="default" w:cs="Arial"/>
                <w:b/>
                <w:sz w:val="22"/>
                <w:szCs w:val="22"/>
              </w:rPr>
              <w:t xml:space="preserve">začiatku bežného </w:t>
            </w: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Prírastky</w:t>
            </w:r>
          </w:p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Úbytky</w:t>
            </w:r>
          </w:p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Presuny</w:t>
            </w:r>
          </w:p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91" w:hRule="atLeast"/>
        </w:trPr>
        <w:tc>
          <w:tcPr>
            <w:tcW w:w="1001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  <w:lang w:eastAsia="sk-SK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Vlastné imanie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91" w:hRule="atLeast"/>
        </w:trPr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  <w:lang w:val="sk-SK"/>
              </w:rPr>
            </w:pPr>
            <w:r>
              <w:rPr>
                <w:rFonts w:hint="default" w:cs="Arial"/>
                <w:sz w:val="22"/>
                <w:szCs w:val="22"/>
                <w:lang w:val="sk-SK"/>
              </w:rPr>
              <w:t>5000</w:t>
            </w: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  <w:lang w:val="sk-SK"/>
              </w:rPr>
            </w:pPr>
            <w:r>
              <w:rPr>
                <w:rFonts w:hint="default" w:cs="Arial"/>
                <w:sz w:val="22"/>
                <w:szCs w:val="22"/>
                <w:lang w:val="sk-SK"/>
              </w:rPr>
              <w:t>5000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280" w:hRule="atLeast"/>
        </w:trPr>
        <w:tc>
          <w:tcPr>
            <w:tcW w:w="1001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z toho: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- nadačné imanie v nadácii</w:t>
            </w: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91" w:hRule="atLeast"/>
        </w:trPr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- vklady zakladateľov</w:t>
            </w: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91" w:hRule="atLeast"/>
        </w:trPr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- prioritný majetok</w:t>
            </w: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Fondy tvorené podľa osobitných predpisov</w:t>
            </w: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91" w:hRule="atLeast"/>
        </w:trPr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91" w:hRule="atLeast"/>
        </w:trPr>
        <w:tc>
          <w:tcPr>
            <w:tcW w:w="1001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Fondy tvorené zo zisku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91" w:hRule="atLeast"/>
        </w:trPr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Rezervný fond</w:t>
            </w: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91" w:hRule="atLeast"/>
        </w:trPr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91" w:hRule="atLeast"/>
        </w:trPr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Ostatné fondy</w:t>
            </w: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91" w:hRule="atLeast"/>
        </w:trPr>
        <w:tc>
          <w:tcPr>
            <w:tcW w:w="1001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Výsledok hospodárenia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  <w:lang w:val="sk-SK"/>
              </w:rPr>
            </w:pPr>
            <w:r>
              <w:rPr>
                <w:rFonts w:hint="default" w:cs="Arial"/>
                <w:sz w:val="22"/>
                <w:szCs w:val="22"/>
                <w:lang w:val="sk-SK"/>
              </w:rPr>
              <w:t>0</w:t>
            </w: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  <w:lang w:val="sk-SK"/>
              </w:rPr>
            </w:pPr>
            <w:r>
              <w:rPr>
                <w:rFonts w:hint="default" w:cs="Arial"/>
                <w:sz w:val="22"/>
                <w:szCs w:val="22"/>
                <w:lang w:val="sk-SK"/>
              </w:rPr>
              <w:t>0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Výsledok hospodárenia účtovného obdobia</w:t>
            </w: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91" w:hRule="atLeast"/>
        </w:trPr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</w:p>
        </w:tc>
      </w:tr>
    </w:tbl>
    <w:p>
      <w:pPr>
        <w:keepNext/>
        <w:numPr>
          <w:ilvl w:val="0"/>
          <w:numId w:val="5"/>
        </w:numPr>
        <w:spacing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Opis a vyčíslenie jednotlivých druhov fondov tvorených podľa osobitných predpisov.</w:t>
      </w:r>
    </w:p>
    <w:tbl>
      <w:tblPr>
        <w:tblStyle w:val="4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6"/>
        <w:gridCol w:w="2365"/>
        <w:gridCol w:w="1464"/>
        <w:gridCol w:w="1858"/>
        <w:gridCol w:w="19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2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73" w:hRule="atLeast"/>
        </w:trPr>
        <w:tc>
          <w:tcPr>
            <w:tcW w:w="2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407" w:hRule="atLeast"/>
        </w:trPr>
        <w:tc>
          <w:tcPr>
            <w:tcW w:w="2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413" w:hRule="atLeast"/>
        </w:trPr>
        <w:tc>
          <w:tcPr>
            <w:tcW w:w="2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>
      <w:pPr>
        <w:keepNext/>
        <w:numPr>
          <w:ilvl w:val="0"/>
          <w:numId w:val="5"/>
        </w:numPr>
        <w:spacing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Informácia o rozdelení účtovného zisku alebo o vysporiadaní účtovnej straty za bezprostredne predchádzajúce účtovné obdobie.</w:t>
      </w:r>
    </w:p>
    <w:tbl>
      <w:tblPr>
        <w:tblStyle w:val="4"/>
        <w:tblW w:w="4745" w:type="pct"/>
        <w:tblInd w:w="11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44"/>
        <w:gridCol w:w="524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765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pStyle w:val="21"/>
              <w:keepNext/>
              <w:spacing w:beforeLines="0" w:afterLines="0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Názov položky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pStyle w:val="21"/>
              <w:keepNext/>
              <w:spacing w:beforeLines="0" w:afterLines="0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rPr>
                <w:rFonts w:hint="default" w:cs="Arial"/>
                <w:b/>
                <w:color w:val="000000"/>
                <w:sz w:val="22"/>
                <w:szCs w:val="22"/>
              </w:rPr>
            </w:pPr>
            <w:r>
              <w:rPr>
                <w:rFonts w:hint="default" w:cs="Arial"/>
                <w:b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30" w:hRule="atLeast"/>
        </w:trPr>
        <w:tc>
          <w:tcPr>
            <w:tcW w:w="9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b/>
                <w:color w:val="000000"/>
                <w:sz w:val="22"/>
                <w:szCs w:val="22"/>
              </w:rPr>
              <w:t>Rozdelenie účtovného zisku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Prídel do f</w:t>
            </w:r>
            <w:r>
              <w:rPr>
                <w:rFonts w:hint="default" w:cs="Arial"/>
                <w:sz w:val="22"/>
                <w:szCs w:val="22"/>
              </w:rPr>
              <w:t>ondov tvorených podľa osobitných predpisov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Prevod  do n</w:t>
            </w:r>
            <w:r>
              <w:rPr>
                <w:rFonts w:hint="default" w:cs="Arial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rPr>
                <w:rFonts w:hint="default" w:cs="Arial"/>
                <w:b/>
                <w:color w:val="000000"/>
                <w:sz w:val="22"/>
                <w:szCs w:val="22"/>
              </w:rPr>
            </w:pPr>
            <w:r>
              <w:rPr>
                <w:rFonts w:hint="default" w:cs="Arial"/>
                <w:b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30" w:hRule="atLeast"/>
        </w:trPr>
        <w:tc>
          <w:tcPr>
            <w:tcW w:w="9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b/>
                <w:color w:val="000000"/>
                <w:sz w:val="22"/>
                <w:szCs w:val="22"/>
              </w:rPr>
              <w:t>Vysporiadanie účtovnej straty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Prevod do n</w:t>
            </w:r>
            <w:r>
              <w:rPr>
                <w:rFonts w:hint="default" w:cs="Arial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</w:tbl>
    <w:p>
      <w:pPr>
        <w:numPr>
          <w:ilvl w:val="0"/>
          <w:numId w:val="5"/>
        </w:numPr>
        <w:spacing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Style w:val="4"/>
        <w:tblW w:w="0" w:type="auto"/>
        <w:tblInd w:w="7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78"/>
        <w:gridCol w:w="1822"/>
        <w:gridCol w:w="1368"/>
        <w:gridCol w:w="1481"/>
        <w:gridCol w:w="1504"/>
        <w:gridCol w:w="17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2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keepNext/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hint="default"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2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2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wBefore w:w="0" w:type="dxa"/>
        </w:trPr>
        <w:tc>
          <w:tcPr>
            <w:tcW w:w="2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b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2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2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2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74" w:hRule="atLeast"/>
        </w:trPr>
        <w:tc>
          <w:tcPr>
            <w:tcW w:w="2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</w:tr>
    </w:tbl>
    <w:p>
      <w:pPr>
        <w:keepNext/>
        <w:numPr>
          <w:ilvl w:val="0"/>
          <w:numId w:val="5"/>
        </w:numPr>
        <w:spacing w:beforeLines="0" w:afterLines="0" w:line="240" w:lineRule="auto"/>
        <w:ind w:left="142" w:hanging="142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Údaje o významných sumách záväzkov v nadväznosti na položky súvahy, v členení na záväzky za hlavnú nezdaňovanú činnosť a zdaňovanú činnosť.</w:t>
      </w:r>
    </w:p>
    <w:tbl>
      <w:tblPr>
        <w:tblStyle w:val="4"/>
        <w:tblW w:w="0" w:type="auto"/>
        <w:tblInd w:w="1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78"/>
        <w:gridCol w:w="3111"/>
        <w:gridCol w:w="25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/>
              <w:spacing w:before="0" w:beforeLines="0" w:afterLines="0" w:line="240" w:lineRule="auto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keepNext/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keepNext/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Zdaňovaná činnosť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>
      <w:pPr>
        <w:keepNext/>
        <w:numPr>
          <w:ilvl w:val="0"/>
          <w:numId w:val="5"/>
        </w:numPr>
        <w:spacing w:before="240" w:beforeLines="0" w:afterLines="0" w:line="240" w:lineRule="auto"/>
        <w:ind w:left="142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Prehľad záväzkov do uplynutia lehoty splatnosti a po uplynutí lehoty splatnosti.</w:t>
      </w:r>
    </w:p>
    <w:tbl>
      <w:tblPr>
        <w:tblStyle w:val="4"/>
        <w:tblW w:w="9915" w:type="dxa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22"/>
        <w:gridCol w:w="2749"/>
        <w:gridCol w:w="30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608" w:hRule="atLeast"/>
        </w:trPr>
        <w:tc>
          <w:tcPr>
            <w:tcW w:w="41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keepNext/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Záväzky</w:t>
            </w:r>
          </w:p>
        </w:tc>
        <w:tc>
          <w:tcPr>
            <w:tcW w:w="2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/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lang w:eastAsia="sk-SK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keepNext/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lang w:eastAsia="sk-SK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74" w:hRule="atLeast"/>
        </w:trPr>
        <w:tc>
          <w:tcPr>
            <w:tcW w:w="41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2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  <w:lang w:eastAsia="sk-SK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74" w:hRule="atLeast"/>
        </w:trPr>
        <w:tc>
          <w:tcPr>
            <w:tcW w:w="41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- po uplynutí lehoty splatnosti</w:t>
            </w:r>
          </w:p>
        </w:tc>
        <w:tc>
          <w:tcPr>
            <w:tcW w:w="2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74" w:hRule="atLeast"/>
        </w:trPr>
        <w:tc>
          <w:tcPr>
            <w:tcW w:w="41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Spolu</w:t>
            </w:r>
          </w:p>
        </w:tc>
        <w:tc>
          <w:tcPr>
            <w:tcW w:w="2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</w:tr>
    </w:tbl>
    <w:p>
      <w:pPr>
        <w:numPr>
          <w:ilvl w:val="0"/>
          <w:numId w:val="5"/>
        </w:numPr>
        <w:spacing w:before="240" w:beforeLines="0" w:afterLines="0" w:line="240" w:lineRule="auto"/>
        <w:ind w:left="142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Prehľad o začiatočnom stave, tvorbe, čerpaní a konečnom zostatku sociálneho fondu v priebehu bežného účtovného obdobia. </w:t>
      </w:r>
    </w:p>
    <w:tbl>
      <w:tblPr>
        <w:tblStyle w:val="4"/>
        <w:tblW w:w="0" w:type="auto"/>
        <w:tblInd w:w="2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40"/>
        <w:gridCol w:w="36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447" w:hRule="atLeast"/>
        </w:trPr>
        <w:tc>
          <w:tcPr>
            <w:tcW w:w="5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Suma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510" w:hRule="atLeast"/>
        </w:trPr>
        <w:tc>
          <w:tcPr>
            <w:tcW w:w="5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74" w:hRule="atLeast"/>
        </w:trPr>
        <w:tc>
          <w:tcPr>
            <w:tcW w:w="5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74" w:hRule="atLeast"/>
        </w:trPr>
        <w:tc>
          <w:tcPr>
            <w:tcW w:w="5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74" w:hRule="atLeast"/>
        </w:trPr>
        <w:tc>
          <w:tcPr>
            <w:tcW w:w="5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Čerpanie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557" w:hRule="atLeast"/>
        </w:trPr>
        <w:tc>
          <w:tcPr>
            <w:tcW w:w="5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</w:p>
        </w:tc>
      </w:tr>
    </w:tbl>
    <w:p>
      <w:pPr>
        <w:numPr>
          <w:ilvl w:val="0"/>
          <w:numId w:val="5"/>
        </w:numPr>
        <w:spacing w:before="240" w:beforeLines="0" w:afterLines="0" w:line="240" w:lineRule="auto"/>
        <w:ind w:left="142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Prehľad o bankových úveroch, pôžičkách a návratných finančných výpomociach s uvedením meny. </w:t>
      </w:r>
    </w:p>
    <w:tbl>
      <w:tblPr>
        <w:tblStyle w:val="4"/>
        <w:tblW w:w="0" w:type="auto"/>
        <w:tblInd w:w="2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38"/>
        <w:gridCol w:w="851"/>
        <w:gridCol w:w="1134"/>
        <w:gridCol w:w="1275"/>
        <w:gridCol w:w="1843"/>
        <w:gridCol w:w="19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lang w:eastAsia="sk-SK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74" w:hRule="atLeast"/>
        </w:trPr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74" w:hRule="atLeast"/>
        </w:trPr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Pôžička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74" w:hRule="atLeast"/>
        </w:trPr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74" w:hRule="atLeast"/>
        </w:trPr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74" w:hRule="atLeast"/>
        </w:trPr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</w:p>
        </w:tc>
      </w:tr>
    </w:tbl>
    <w:p>
      <w:pPr>
        <w:numPr>
          <w:ilvl w:val="0"/>
          <w:numId w:val="5"/>
        </w:numPr>
        <w:spacing w:before="240" w:beforeLines="0" w:afterLines="0" w:line="240" w:lineRule="auto"/>
        <w:ind w:left="142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Prehľad o významných položkách časového rozlíšenia výdavkov budúcich období.</w:t>
      </w:r>
    </w:p>
    <w:p>
      <w:pPr>
        <w:keepNext/>
        <w:numPr>
          <w:ilvl w:val="0"/>
          <w:numId w:val="5"/>
        </w:numPr>
        <w:spacing w:before="0" w:beforeLines="0" w:afterLines="0" w:line="240" w:lineRule="auto"/>
        <w:ind w:left="142" w:firstLine="0"/>
        <w:rPr>
          <w:rFonts w:hint="default" w:cs="Arial"/>
          <w:sz w:val="22"/>
          <w:szCs w:val="22"/>
        </w:rPr>
      </w:pPr>
      <w:r>
        <w:rPr>
          <w:rFonts w:hint="default" w:cs="Arial"/>
          <w:b/>
          <w:sz w:val="22"/>
          <w:szCs w:val="22"/>
        </w:rPr>
        <w:t xml:space="preserve"> </w:t>
      </w:r>
      <w:r>
        <w:rPr>
          <w:rFonts w:hint="default" w:cs="Arial"/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Style w:val="4"/>
        <w:tblW w:w="0" w:type="auto"/>
        <w:tblInd w:w="22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31"/>
        <w:gridCol w:w="2977"/>
        <w:gridCol w:w="31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lang w:eastAsia="sk-SK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>
      <w:pPr>
        <w:spacing w:before="240" w:beforeLines="0" w:afterLines="0" w:line="240" w:lineRule="auto"/>
        <w:ind w:left="142"/>
        <w:rPr>
          <w:rFonts w:hint="default" w:cs="Arial"/>
          <w:sz w:val="22"/>
          <w:szCs w:val="22"/>
        </w:rPr>
      </w:pPr>
    </w:p>
    <w:tbl>
      <w:tblPr>
        <w:tblStyle w:val="4"/>
        <w:tblW w:w="0" w:type="auto"/>
        <w:tblInd w:w="22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31"/>
        <w:gridCol w:w="2977"/>
        <w:gridCol w:w="311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lang w:eastAsia="sk-SK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hint="default"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>
      <w:pPr>
        <w:keepNext/>
        <w:numPr>
          <w:ilvl w:val="0"/>
          <w:numId w:val="5"/>
        </w:numPr>
        <w:spacing w:before="240" w:beforeLines="0" w:afterLines="0" w:line="240" w:lineRule="auto"/>
        <w:ind w:left="142" w:hanging="142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Údaje o druhoch majetku a záväzkoch z lízingových zmlúv.</w:t>
      </w:r>
    </w:p>
    <w:tbl>
      <w:tblPr>
        <w:tblStyle w:val="4"/>
        <w:tblW w:w="0" w:type="auto"/>
        <w:tblInd w:w="1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17"/>
        <w:gridCol w:w="3082"/>
        <w:gridCol w:w="25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41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keepNext/>
              <w:spacing w:before="0" w:beforeLines="0" w:afterLines="0" w:line="240" w:lineRule="auto"/>
              <w:jc w:val="left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keepNext/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Hodnota záväzku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41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/>
              <w:spacing w:before="0" w:beforeLines="0" w:afterLines="0" w:line="240" w:lineRule="auto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keepNext/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hint="default"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keepNext/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>
      <w:pPr>
        <w:keepNext/>
        <w:spacing w:before="240" w:beforeLines="0" w:afterLines="0" w:line="240" w:lineRule="auto"/>
        <w:jc w:val="center"/>
        <w:outlineLvl w:val="0"/>
        <w:rPr>
          <w:rFonts w:hint="default" w:cs="Arial"/>
          <w:b/>
          <w:kern w:val="32"/>
          <w:sz w:val="22"/>
          <w:szCs w:val="22"/>
        </w:rPr>
      </w:pPr>
      <w:r>
        <w:rPr>
          <w:rFonts w:hint="default" w:cs="Arial"/>
          <w:b/>
          <w:kern w:val="32"/>
          <w:sz w:val="22"/>
          <w:szCs w:val="22"/>
        </w:rPr>
        <w:t>Čl. IV</w:t>
      </w:r>
    </w:p>
    <w:p>
      <w:pPr>
        <w:keepNext/>
        <w:spacing w:before="0" w:beforeLines="0" w:afterLines="0" w:line="240" w:lineRule="auto"/>
        <w:jc w:val="center"/>
        <w:outlineLvl w:val="1"/>
        <w:rPr>
          <w:rFonts w:hint="default" w:cs="Arial"/>
          <w:b/>
          <w:sz w:val="22"/>
          <w:szCs w:val="22"/>
        </w:rPr>
      </w:pPr>
      <w:r>
        <w:rPr>
          <w:rFonts w:hint="default" w:cs="Arial"/>
          <w:b/>
          <w:sz w:val="22"/>
          <w:szCs w:val="22"/>
        </w:rPr>
        <w:t>Informácie, ktoré dopĺňajú a vysvetľujú údaje vo výkaze ziskov a strát</w:t>
      </w:r>
    </w:p>
    <w:p>
      <w:pPr>
        <w:numPr>
          <w:ilvl w:val="0"/>
          <w:numId w:val="6"/>
        </w:numPr>
        <w:spacing w:before="0" w:beforeLines="0" w:afterLines="0" w:line="240" w:lineRule="auto"/>
        <w:ind w:left="284" w:hanging="284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Style w:val="4"/>
        <w:tblW w:w="0" w:type="auto"/>
        <w:tblInd w:w="1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54"/>
        <w:gridCol w:w="3083"/>
        <w:gridCol w:w="237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748" w:hRule="atLeast"/>
        </w:trPr>
        <w:tc>
          <w:tcPr>
            <w:tcW w:w="4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left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Zdaňovaná činnosť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>
      <w:pPr>
        <w:numPr>
          <w:ilvl w:val="0"/>
          <w:numId w:val="6"/>
        </w:numPr>
        <w:spacing w:before="240" w:beforeLines="0" w:afterLines="0" w:line="240" w:lineRule="auto"/>
        <w:ind w:left="284" w:hanging="284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Style w:val="4"/>
        <w:tblW w:w="0" w:type="auto"/>
        <w:tblInd w:w="1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33"/>
        <w:gridCol w:w="2454"/>
        <w:gridCol w:w="27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left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hint="default"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>
      <w:pPr>
        <w:keepNext/>
        <w:numPr>
          <w:ilvl w:val="0"/>
          <w:numId w:val="6"/>
        </w:numPr>
        <w:spacing w:before="240" w:beforeLines="0" w:afterLines="0" w:line="240" w:lineRule="auto"/>
        <w:ind w:left="284" w:hanging="284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Style w:val="4"/>
        <w:tblW w:w="0" w:type="auto"/>
        <w:tblInd w:w="1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33"/>
        <w:gridCol w:w="2809"/>
        <w:gridCol w:w="23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left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hint="default"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>
      <w:pPr>
        <w:keepNext/>
        <w:numPr>
          <w:ilvl w:val="0"/>
          <w:numId w:val="6"/>
        </w:numPr>
        <w:spacing w:before="240" w:beforeLines="0" w:afterLines="0" w:line="240" w:lineRule="auto"/>
        <w:ind w:left="284" w:hanging="284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Style w:val="4"/>
        <w:tblW w:w="0" w:type="auto"/>
        <w:tblInd w:w="1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33"/>
        <w:gridCol w:w="2810"/>
        <w:gridCol w:w="23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9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left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hint="default"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9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9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49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>
      <w:pPr>
        <w:numPr>
          <w:ilvl w:val="0"/>
          <w:numId w:val="6"/>
        </w:numPr>
        <w:spacing w:before="240"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Style w:val="4"/>
        <w:tblW w:w="0" w:type="auto"/>
        <w:tblInd w:w="1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47"/>
        <w:gridCol w:w="2395"/>
        <w:gridCol w:w="23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5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keepNext/>
              <w:spacing w:before="0" w:beforeLines="0" w:afterLines="0" w:line="240" w:lineRule="auto"/>
              <w:jc w:val="left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keepNext/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hint="default"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keepNext/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5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wBefore w:w="0" w:type="dxa"/>
        </w:trPr>
        <w:tc>
          <w:tcPr>
            <w:tcW w:w="5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5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>
      <w:pPr>
        <w:numPr>
          <w:ilvl w:val="0"/>
          <w:numId w:val="6"/>
        </w:numPr>
        <w:spacing w:before="240"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Prehľad o účele a výške použitia zostatku prijatého podielu zaplatenej dane v minulých účtovných obdobiach a prijatého podielu zaplatenej dane v bežnom účtovnom období.</w:t>
      </w:r>
    </w:p>
    <w:tbl>
      <w:tblPr>
        <w:tblStyle w:val="4"/>
        <w:tblW w:w="10276" w:type="dxa"/>
        <w:tblInd w:w="1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9"/>
        <w:gridCol w:w="2239"/>
        <w:gridCol w:w="22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</w:trPr>
        <w:tc>
          <w:tcPr>
            <w:tcW w:w="5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Použitá suma z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97" w:hRule="atLeast"/>
        </w:trPr>
        <w:tc>
          <w:tcPr>
            <w:tcW w:w="5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97" w:hRule="atLeast"/>
        </w:trPr>
        <w:tc>
          <w:tcPr>
            <w:tcW w:w="5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97" w:hRule="atLeast"/>
        </w:trPr>
        <w:tc>
          <w:tcPr>
            <w:tcW w:w="5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trHeight w:val="397" w:hRule="atLeast"/>
        </w:trPr>
        <w:tc>
          <w:tcPr>
            <w:tcW w:w="80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</w:p>
        </w:tc>
      </w:tr>
    </w:tbl>
    <w:p>
      <w:pPr>
        <w:keepNext/>
        <w:spacing w:before="240" w:beforeLines="0" w:afterLines="0" w:line="240" w:lineRule="auto"/>
        <w:jc w:val="center"/>
        <w:outlineLvl w:val="0"/>
        <w:rPr>
          <w:rFonts w:hint="default" w:cs="Arial"/>
          <w:b/>
          <w:kern w:val="32"/>
          <w:sz w:val="22"/>
          <w:szCs w:val="22"/>
        </w:rPr>
      </w:pPr>
      <w:r>
        <w:rPr>
          <w:rFonts w:hint="default" w:cs="Arial"/>
          <w:b/>
          <w:kern w:val="32"/>
          <w:sz w:val="22"/>
          <w:szCs w:val="22"/>
        </w:rPr>
        <w:t>Čl. V</w:t>
      </w:r>
    </w:p>
    <w:p>
      <w:pPr>
        <w:keepNext/>
        <w:spacing w:before="0" w:beforeLines="0" w:afterLines="0" w:line="240" w:lineRule="auto"/>
        <w:jc w:val="center"/>
        <w:outlineLvl w:val="1"/>
        <w:rPr>
          <w:rFonts w:hint="default" w:cs="Arial"/>
          <w:b/>
          <w:sz w:val="22"/>
          <w:szCs w:val="22"/>
        </w:rPr>
      </w:pPr>
      <w:r>
        <w:rPr>
          <w:rFonts w:hint="default" w:cs="Arial"/>
          <w:b/>
          <w:sz w:val="22"/>
          <w:szCs w:val="22"/>
        </w:rPr>
        <w:t>Opis údajov na podsúvahových účtoch</w:t>
      </w:r>
    </w:p>
    <w:p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Významné položky zásob prijatých na komisionálny predaj, prenajatého majetku, majetku prijatého do úschovy, odpísané pohľadávky a prípadné ďalšie položky.</w:t>
      </w:r>
    </w:p>
    <w:p>
      <w:pPr>
        <w:keepNext/>
        <w:spacing w:before="240" w:beforeLines="0" w:afterLines="0" w:line="240" w:lineRule="auto"/>
        <w:jc w:val="center"/>
        <w:outlineLvl w:val="1"/>
        <w:rPr>
          <w:rFonts w:hint="default" w:cs="Arial"/>
          <w:b/>
          <w:sz w:val="22"/>
          <w:szCs w:val="22"/>
        </w:rPr>
      </w:pPr>
      <w:r>
        <w:rPr>
          <w:rFonts w:hint="default" w:cs="Arial"/>
          <w:b/>
          <w:sz w:val="22"/>
          <w:szCs w:val="22"/>
        </w:rPr>
        <w:t>Čl. VI</w:t>
      </w:r>
    </w:p>
    <w:p>
      <w:pPr>
        <w:keepNext/>
        <w:spacing w:before="0" w:beforeLines="0" w:afterLines="0" w:line="240" w:lineRule="auto"/>
        <w:jc w:val="center"/>
        <w:outlineLvl w:val="1"/>
        <w:rPr>
          <w:rFonts w:hint="default" w:cs="Arial"/>
          <w:b/>
          <w:sz w:val="22"/>
          <w:szCs w:val="22"/>
        </w:rPr>
      </w:pPr>
      <w:r>
        <w:rPr>
          <w:rFonts w:hint="default" w:cs="Arial"/>
          <w:b/>
          <w:sz w:val="22"/>
          <w:szCs w:val="22"/>
        </w:rPr>
        <w:t>Ďalšie informácie</w:t>
      </w:r>
    </w:p>
    <w:p>
      <w:pPr>
        <w:pStyle w:val="20"/>
        <w:numPr>
          <w:ilvl w:val="0"/>
          <w:numId w:val="0"/>
        </w:numPr>
        <w:tabs>
          <w:tab w:val="clear" w:pos="1440"/>
        </w:tabs>
        <w:spacing w:beforeLines="0" w:afterLines="0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>
      <w:pPr>
        <w:pStyle w:val="20"/>
        <w:numPr>
          <w:ilvl w:val="0"/>
          <w:numId w:val="0"/>
        </w:numPr>
        <w:tabs>
          <w:tab w:val="clear" w:pos="1440"/>
        </w:tabs>
        <w:spacing w:beforeLines="0" w:afterLines="0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20"/>
        <w:numPr>
          <w:ilvl w:val="0"/>
          <w:numId w:val="0"/>
        </w:numPr>
        <w:tabs>
          <w:tab w:val="clear" w:pos="1440"/>
        </w:tabs>
        <w:spacing w:beforeLines="0" w:afterLines="0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20"/>
        <w:numPr>
          <w:ilvl w:val="0"/>
          <w:numId w:val="0"/>
        </w:numPr>
        <w:tabs>
          <w:tab w:val="clear" w:pos="1440"/>
        </w:tabs>
        <w:spacing w:beforeLines="0" w:afterLines="0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20"/>
        <w:numPr>
          <w:ilvl w:val="0"/>
          <w:numId w:val="0"/>
        </w:numPr>
        <w:tabs>
          <w:tab w:val="clear" w:pos="1440"/>
        </w:tabs>
        <w:spacing w:beforeLines="0" w:afterLines="0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20"/>
        <w:numPr>
          <w:ilvl w:val="0"/>
          <w:numId w:val="0"/>
        </w:numPr>
        <w:tabs>
          <w:tab w:val="clear" w:pos="1440"/>
        </w:tabs>
        <w:spacing w:beforeLines="0" w:afterLines="0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a) povinnosť z devízových termínovaných obchodov a iných finančných derivátov,</w:t>
      </w:r>
    </w:p>
    <w:p>
      <w:pPr>
        <w:pStyle w:val="20"/>
        <w:numPr>
          <w:ilvl w:val="0"/>
          <w:numId w:val="0"/>
        </w:numPr>
        <w:tabs>
          <w:tab w:val="clear" w:pos="1440"/>
        </w:tabs>
        <w:spacing w:beforeLines="0" w:afterLines="0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b) povinnosť z opčných obchodov,</w:t>
      </w:r>
    </w:p>
    <w:p>
      <w:pPr>
        <w:pStyle w:val="20"/>
        <w:numPr>
          <w:ilvl w:val="0"/>
          <w:numId w:val="0"/>
        </w:numPr>
        <w:tabs>
          <w:tab w:val="clear" w:pos="1440"/>
        </w:tabs>
        <w:spacing w:beforeLines="0" w:afterLines="0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c) zákonná povinnosť alebo zmluvná povinnosť odobrať určité produkty alebo služby, napríklad z dodávateľských zmlúv alebo odberateľských zmlúv,</w:t>
      </w:r>
    </w:p>
    <w:p>
      <w:pPr>
        <w:pStyle w:val="20"/>
        <w:numPr>
          <w:ilvl w:val="0"/>
          <w:numId w:val="0"/>
        </w:numPr>
        <w:tabs>
          <w:tab w:val="clear" w:pos="1440"/>
        </w:tabs>
        <w:spacing w:beforeLines="0" w:afterLines="0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d) povinnosť z lízingových zmlúv, nájomných zmlúv, servisných zmlúv, poistných zmlúv, koncesionárskych zmlúv, licenčných zmlúv a podobných zmlúv,</w:t>
      </w:r>
    </w:p>
    <w:p>
      <w:pPr>
        <w:pStyle w:val="20"/>
        <w:numPr>
          <w:ilvl w:val="0"/>
          <w:numId w:val="0"/>
        </w:numPr>
        <w:tabs>
          <w:tab w:val="clear" w:pos="1440"/>
        </w:tabs>
        <w:spacing w:beforeLines="0" w:afterLines="0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e) iné povinnosti.</w:t>
      </w:r>
    </w:p>
    <w:p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(5) Informácie o významných skutočnostiach, ktoré nastali medzi dňom, ku ktorému sa zostavuje účtovná závierka a dňom jej zostavenia.</w:t>
      </w:r>
    </w:p>
    <w:sectPr>
      <w:headerReference r:id="rId5" w:type="first"/>
      <w:footerReference r:id="rId7" w:type="first"/>
      <w:footerReference r:id="rId6" w:type="default"/>
      <w:pgSz w:w="11906" w:h="16838"/>
      <w:pgMar w:top="851" w:right="851" w:bottom="851" w:left="993" w:header="709" w:footer="709" w:gutter="0"/>
      <w:pgNumType w:start="7"/>
      <w:cols w:space="708" w:num="1"/>
      <w:titlePg/>
      <w:docGrid w:linePitch="27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spacing w:beforeLines="0" w:afterLines="0"/>
      <w:jc w:val="right"/>
      <w:rPr>
        <w:rFonts w:hint="default" w:cs="Arial"/>
        <w:sz w:val="20"/>
        <w:szCs w:val="24"/>
      </w:rPr>
    </w:pPr>
    <w:r>
      <w:rPr>
        <w:rFonts w:hint="default" w:cs="Arial"/>
        <w:sz w:val="20"/>
        <w:szCs w:val="24"/>
      </w:rPr>
      <w:t xml:space="preserve">Strana </w:t>
    </w:r>
    <w:r>
      <w:rPr>
        <w:rFonts w:hint="default" w:cs="Arial"/>
        <w:sz w:val="20"/>
        <w:szCs w:val="24"/>
      </w:rPr>
      <w:fldChar w:fldCharType="begin"/>
    </w:r>
    <w:r>
      <w:rPr>
        <w:rFonts w:hint="default" w:cs="Arial"/>
        <w:sz w:val="20"/>
        <w:szCs w:val="24"/>
      </w:rPr>
      <w:instrText xml:space="preserve">PAGE   \* MERGEFORMAT</w:instrText>
    </w:r>
    <w:r>
      <w:rPr>
        <w:rFonts w:hint="default" w:cs="Arial"/>
        <w:sz w:val="20"/>
        <w:szCs w:val="24"/>
      </w:rPr>
      <w:fldChar w:fldCharType="separate"/>
    </w:r>
    <w:r>
      <w:rPr>
        <w:rFonts w:hint="default" w:cs="Arial"/>
        <w:sz w:val="20"/>
        <w:szCs w:val="24"/>
        <w:lang/>
      </w:rPr>
      <w:t>9</w:t>
    </w:r>
    <w:r>
      <w:rPr>
        <w:rFonts w:hint="default" w:cs="Arial"/>
        <w:sz w:val="20"/>
        <w:szCs w:val="24"/>
        <w:lang/>
      </w:rPr>
      <w:fldChar w:fldCharType="end"/>
    </w:r>
  </w:p>
  <w:p>
    <w:pPr>
      <w:pStyle w:val="9"/>
      <w:tabs>
        <w:tab w:val="center" w:pos="5102"/>
        <w:tab w:val="right" w:pos="10204"/>
        <w:tab w:val="clear" w:pos="4536"/>
        <w:tab w:val="clear" w:pos="9072"/>
      </w:tabs>
      <w:spacing w:beforeLines="0" w:afterLines="0"/>
      <w:ind w:right="360"/>
      <w:rPr>
        <w:rFonts w:hint="default" w:cs="Arial"/>
        <w:sz w:val="20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spacing w:beforeLines="0" w:afterLines="0"/>
      <w:jc w:val="right"/>
      <w:rPr>
        <w:rFonts w:hint="default" w:cs="Arial"/>
        <w:sz w:val="20"/>
        <w:szCs w:val="24"/>
      </w:rPr>
    </w:pPr>
    <w:r>
      <w:rPr>
        <w:rFonts w:hint="default" w:cs="Arial"/>
        <w:sz w:val="20"/>
        <w:szCs w:val="24"/>
      </w:rPr>
      <w:t>Strana 7</w:t>
    </w:r>
  </w:p>
  <w:p>
    <w:pPr>
      <w:pStyle w:val="9"/>
      <w:spacing w:beforeLines="0" w:afterLines="0"/>
      <w:rPr>
        <w:rFonts w:hint="default" w:cs="Arial"/>
        <w:sz w:val="20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60" w:lineRule="auto"/>
      </w:pPr>
      <w:r>
        <w:separator/>
      </w:r>
    </w:p>
  </w:footnote>
  <w:footnote w:type="continuationSeparator" w:id="1">
    <w:p>
      <w:pPr>
        <w:spacing w:before="0" w:after="0" w:line="36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spacing w:beforeLines="0" w:afterLines="0"/>
      <w:jc w:val="right"/>
      <w:rPr>
        <w:rFonts w:hint="default" w:cs="Arial"/>
        <w:sz w:val="20"/>
        <w:szCs w:val="24"/>
      </w:rPr>
    </w:pPr>
  </w:p>
  <w:p>
    <w:pPr>
      <w:pStyle w:val="10"/>
      <w:spacing w:beforeLines="0" w:afterLines="0"/>
      <w:rPr>
        <w:rFonts w:hint="default" w:cs="Arial"/>
        <w:sz w:val="20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AE361E5"/>
    <w:multiLevelType w:val="multilevel"/>
    <w:tmpl w:val="0AE361E5"/>
    <w:lvl w:ilvl="0" w:tentative="0">
      <w:start w:val="1"/>
      <w:numFmt w:val="decimal"/>
      <w:pStyle w:val="16"/>
      <w:lvlText w:val="K bodu %1"/>
      <w:lvlJc w:val="left"/>
      <w:pPr>
        <w:tabs>
          <w:tab w:val="left" w:pos="0"/>
        </w:tabs>
      </w:pPr>
      <w:rPr>
        <w:rFonts w:hint="default" w:cs="Times New Roman"/>
        <w:b/>
        <w:u w:val="none" w:color="auto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  <w:rPr>
        <w:rFonts w:hint="default" w:cs="Times New Roman"/>
        <w:u w:val="none" w:color="auto"/>
      </w:r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  <w:rPr>
        <w:rFonts w:hint="default" w:cs="Times New Roman"/>
        <w:u w:val="none" w:color="auto"/>
      </w:r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hint="default" w:cs="Times New Roman"/>
        <w:u w:val="none" w:color="auto"/>
      </w:r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  <w:rPr>
        <w:rFonts w:hint="default" w:cs="Times New Roman"/>
        <w:u w:val="none" w:color="auto"/>
      </w:r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  <w:rPr>
        <w:rFonts w:hint="default" w:cs="Times New Roman"/>
        <w:u w:val="none" w:color="auto"/>
      </w:r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hint="default" w:cs="Times New Roman"/>
        <w:u w:val="none" w:color="auto"/>
      </w:r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  <w:rPr>
        <w:rFonts w:hint="default" w:cs="Times New Roman"/>
        <w:u w:val="none" w:color="auto"/>
      </w:r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  <w:rPr>
        <w:rFonts w:hint="default" w:cs="Times New Roman"/>
        <w:u w:val="none" w:color="auto"/>
      </w:rPr>
    </w:lvl>
  </w:abstractNum>
  <w:abstractNum w:abstractNumId="1">
    <w:nsid w:val="0B253E27"/>
    <w:multiLevelType w:val="multilevel"/>
    <w:tmpl w:val="0B253E27"/>
    <w:lvl w:ilvl="0" w:tentative="0">
      <w:start w:val="1"/>
      <w:numFmt w:val="decimal"/>
      <w:lvlText w:val="(%1)"/>
      <w:lvlJc w:val="left"/>
      <w:pPr>
        <w:ind w:left="644" w:hanging="360"/>
      </w:pPr>
      <w:rPr>
        <w:rFonts w:hint="default" w:cs="Times New Roman"/>
        <w:u w:val="none" w:color="auto"/>
      </w:rPr>
    </w:lvl>
    <w:lvl w:ilvl="1" w:tentative="0">
      <w:start w:val="1"/>
      <w:numFmt w:val="lowerLetter"/>
      <w:lvlText w:val="%2."/>
      <w:lvlJc w:val="left"/>
      <w:pPr>
        <w:ind w:left="1440" w:hanging="360"/>
      </w:pPr>
      <w:rPr>
        <w:rFonts w:hint="default" w:cs="Times New Roman"/>
        <w:u w:val="none" w:color="auto"/>
      </w:rPr>
    </w:lvl>
    <w:lvl w:ilvl="2" w:tentative="0">
      <w:start w:val="1"/>
      <w:numFmt w:val="lowerRoman"/>
      <w:lvlText w:val="%3."/>
      <w:lvlJc w:val="right"/>
      <w:pPr>
        <w:ind w:left="2160" w:hanging="180"/>
      </w:pPr>
      <w:rPr>
        <w:rFonts w:hint="default" w:cs="Times New Roman"/>
        <w:u w:val="none" w:color="auto"/>
      </w:rPr>
    </w:lvl>
    <w:lvl w:ilvl="3" w:tentative="0">
      <w:start w:val="1"/>
      <w:numFmt w:val="decimal"/>
      <w:lvlText w:val="%4."/>
      <w:lvlJc w:val="left"/>
      <w:pPr>
        <w:ind w:left="2880" w:hanging="360"/>
      </w:pPr>
      <w:rPr>
        <w:rFonts w:hint="default" w:cs="Times New Roman"/>
        <w:u w:val="none" w:color="auto"/>
      </w:rPr>
    </w:lvl>
    <w:lvl w:ilvl="4" w:tentative="0">
      <w:start w:val="1"/>
      <w:numFmt w:val="lowerLetter"/>
      <w:lvlText w:val="%5."/>
      <w:lvlJc w:val="left"/>
      <w:pPr>
        <w:ind w:left="3600" w:hanging="360"/>
      </w:pPr>
      <w:rPr>
        <w:rFonts w:hint="default" w:cs="Times New Roman"/>
        <w:u w:val="none" w:color="auto"/>
      </w:rPr>
    </w:lvl>
    <w:lvl w:ilvl="5" w:tentative="0">
      <w:start w:val="1"/>
      <w:numFmt w:val="lowerRoman"/>
      <w:lvlText w:val="%6."/>
      <w:lvlJc w:val="right"/>
      <w:pPr>
        <w:ind w:left="4320" w:hanging="180"/>
      </w:pPr>
      <w:rPr>
        <w:rFonts w:hint="default" w:cs="Times New Roman"/>
        <w:u w:val="none" w:color="auto"/>
      </w:rPr>
    </w:lvl>
    <w:lvl w:ilvl="6" w:tentative="0">
      <w:start w:val="1"/>
      <w:numFmt w:val="decimal"/>
      <w:lvlText w:val="%7."/>
      <w:lvlJc w:val="left"/>
      <w:pPr>
        <w:ind w:left="5040" w:hanging="360"/>
      </w:pPr>
      <w:rPr>
        <w:rFonts w:hint="default" w:cs="Times New Roman"/>
        <w:u w:val="none" w:color="auto"/>
      </w:rPr>
    </w:lvl>
    <w:lvl w:ilvl="7" w:tentative="0">
      <w:start w:val="1"/>
      <w:numFmt w:val="lowerLetter"/>
      <w:lvlText w:val="%8."/>
      <w:lvlJc w:val="left"/>
      <w:pPr>
        <w:ind w:left="5760" w:hanging="360"/>
      </w:pPr>
      <w:rPr>
        <w:rFonts w:hint="default" w:cs="Times New Roman"/>
        <w:u w:val="none" w:color="auto"/>
      </w:rPr>
    </w:lvl>
    <w:lvl w:ilvl="8" w:tentative="0">
      <w:start w:val="1"/>
      <w:numFmt w:val="lowerRoman"/>
      <w:lvlText w:val="%9."/>
      <w:lvlJc w:val="right"/>
      <w:pPr>
        <w:ind w:left="6480" w:hanging="180"/>
      </w:pPr>
      <w:rPr>
        <w:rFonts w:hint="default" w:cs="Times New Roman"/>
        <w:u w:val="none" w:color="auto"/>
      </w:rPr>
    </w:lvl>
  </w:abstractNum>
  <w:abstractNum w:abstractNumId="2">
    <w:nsid w:val="484256DF"/>
    <w:multiLevelType w:val="multilevel"/>
    <w:tmpl w:val="484256DF"/>
    <w:lvl w:ilvl="0" w:tentative="0">
      <w:start w:val="1"/>
      <w:numFmt w:val="decimal"/>
      <w:lvlText w:val="(%1)"/>
      <w:lvlJc w:val="left"/>
      <w:pPr>
        <w:ind w:left="720" w:hanging="360"/>
      </w:pPr>
      <w:rPr>
        <w:rFonts w:hint="default" w:ascii="Arial Narrow" w:cs="Arial Narrow"/>
        <w:u w:val="none" w:color="auto"/>
      </w:rPr>
    </w:lvl>
    <w:lvl w:ilvl="1" w:tentative="0">
      <w:start w:val="1"/>
      <w:numFmt w:val="lowerLetter"/>
      <w:lvlText w:val="%2."/>
      <w:lvlJc w:val="left"/>
      <w:pPr>
        <w:ind w:left="1440" w:hanging="360"/>
      </w:pPr>
      <w:rPr>
        <w:rFonts w:hint="default" w:cs="Times New Roman"/>
        <w:u w:val="none" w:color="auto"/>
      </w:rPr>
    </w:lvl>
    <w:lvl w:ilvl="2" w:tentative="0">
      <w:start w:val="1"/>
      <w:numFmt w:val="lowerRoman"/>
      <w:lvlText w:val="%3."/>
      <w:lvlJc w:val="right"/>
      <w:pPr>
        <w:ind w:left="2160" w:hanging="180"/>
      </w:pPr>
      <w:rPr>
        <w:rFonts w:hint="default" w:cs="Times New Roman"/>
        <w:u w:val="none" w:color="auto"/>
      </w:rPr>
    </w:lvl>
    <w:lvl w:ilvl="3" w:tentative="0">
      <w:start w:val="1"/>
      <w:numFmt w:val="decimal"/>
      <w:lvlText w:val="%4."/>
      <w:lvlJc w:val="left"/>
      <w:pPr>
        <w:ind w:left="2880" w:hanging="360"/>
      </w:pPr>
      <w:rPr>
        <w:rFonts w:hint="default" w:cs="Times New Roman"/>
        <w:u w:val="none" w:color="auto"/>
      </w:rPr>
    </w:lvl>
    <w:lvl w:ilvl="4" w:tentative="0">
      <w:start w:val="1"/>
      <w:numFmt w:val="lowerLetter"/>
      <w:lvlText w:val="%5."/>
      <w:lvlJc w:val="left"/>
      <w:pPr>
        <w:ind w:left="3600" w:hanging="360"/>
      </w:pPr>
      <w:rPr>
        <w:rFonts w:hint="default" w:cs="Times New Roman"/>
        <w:u w:val="none" w:color="auto"/>
      </w:rPr>
    </w:lvl>
    <w:lvl w:ilvl="5" w:tentative="0">
      <w:start w:val="1"/>
      <w:numFmt w:val="lowerRoman"/>
      <w:lvlText w:val="%6."/>
      <w:lvlJc w:val="right"/>
      <w:pPr>
        <w:ind w:left="4320" w:hanging="180"/>
      </w:pPr>
      <w:rPr>
        <w:rFonts w:hint="default" w:cs="Times New Roman"/>
        <w:u w:val="none" w:color="auto"/>
      </w:rPr>
    </w:lvl>
    <w:lvl w:ilvl="6" w:tentative="0">
      <w:start w:val="1"/>
      <w:numFmt w:val="decimal"/>
      <w:lvlText w:val="%7."/>
      <w:lvlJc w:val="left"/>
      <w:pPr>
        <w:ind w:left="5040" w:hanging="360"/>
      </w:pPr>
      <w:rPr>
        <w:rFonts w:hint="default" w:cs="Times New Roman"/>
        <w:u w:val="none" w:color="auto"/>
      </w:rPr>
    </w:lvl>
    <w:lvl w:ilvl="7" w:tentative="0">
      <w:start w:val="1"/>
      <w:numFmt w:val="lowerLetter"/>
      <w:lvlText w:val="%8."/>
      <w:lvlJc w:val="left"/>
      <w:pPr>
        <w:ind w:left="5760" w:hanging="360"/>
      </w:pPr>
      <w:rPr>
        <w:rFonts w:hint="default" w:cs="Times New Roman"/>
        <w:u w:val="none" w:color="auto"/>
      </w:rPr>
    </w:lvl>
    <w:lvl w:ilvl="8" w:tentative="0">
      <w:start w:val="1"/>
      <w:numFmt w:val="lowerRoman"/>
      <w:lvlText w:val="%9."/>
      <w:lvlJc w:val="right"/>
      <w:pPr>
        <w:ind w:left="6480" w:hanging="180"/>
      </w:pPr>
      <w:rPr>
        <w:rFonts w:hint="default" w:cs="Times New Roman"/>
        <w:u w:val="none" w:color="auto"/>
      </w:rPr>
    </w:lvl>
  </w:abstractNum>
  <w:abstractNum w:abstractNumId="3">
    <w:nsid w:val="52A01D22"/>
    <w:multiLevelType w:val="multilevel"/>
    <w:tmpl w:val="52A01D22"/>
    <w:lvl w:ilvl="0" w:tentative="0">
      <w:start w:val="1"/>
      <w:numFmt w:val="upperRoman"/>
      <w:pStyle w:val="13"/>
      <w:suff w:val="nothing"/>
      <w:lvlText w:val="Čl. %1."/>
      <w:lvlJc w:val="center"/>
      <w:rPr>
        <w:rFonts w:hint="default" w:ascii="Arial" w:cs="Arial"/>
        <w:b/>
        <w:sz w:val="24"/>
        <w:szCs w:val="24"/>
        <w:u w:val="none" w:color="auto"/>
      </w:rPr>
    </w:lvl>
    <w:lvl w:ilvl="1" w:tentative="0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hint="default" w:cs="Times New Roman"/>
        <w:u w:val="none" w:color="auto"/>
      </w:rPr>
    </w:lvl>
    <w:lvl w:ilvl="2" w:tentative="0">
      <w:start w:val="1"/>
      <w:numFmt w:val="lowerRoman"/>
      <w:lvlText w:val="%3)"/>
      <w:lvlJc w:val="left"/>
      <w:pPr>
        <w:tabs>
          <w:tab w:val="left" w:pos="1080"/>
        </w:tabs>
        <w:ind w:left="1080" w:hanging="360"/>
      </w:pPr>
      <w:rPr>
        <w:rFonts w:hint="default" w:cs="Times New Roman"/>
        <w:u w:val="none" w:color="auto"/>
      </w:rPr>
    </w:lvl>
    <w:lvl w:ilvl="3" w:tentative="0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  <w:rPr>
        <w:rFonts w:hint="default" w:cs="Times New Roman"/>
        <w:u w:val="none" w:color="auto"/>
      </w:rPr>
    </w:lvl>
    <w:lvl w:ilvl="4" w:tentative="0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  <w:rPr>
        <w:rFonts w:hint="default" w:cs="Times New Roman"/>
        <w:u w:val="none" w:color="auto"/>
      </w:rPr>
    </w:lvl>
    <w:lvl w:ilvl="5" w:tentative="0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  <w:rPr>
        <w:rFonts w:hint="default" w:cs="Times New Roman"/>
        <w:u w:val="none" w:color="auto"/>
      </w:rPr>
    </w:lvl>
    <w:lvl w:ilvl="6" w:tentative="0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  <w:rPr>
        <w:rFonts w:hint="default" w:cs="Times New Roman"/>
        <w:u w:val="none" w:color="auto"/>
      </w:rPr>
    </w:lvl>
    <w:lvl w:ilvl="7" w:tentative="0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  <w:rPr>
        <w:rFonts w:hint="default" w:cs="Times New Roman"/>
        <w:u w:val="none" w:color="auto"/>
      </w:rPr>
    </w:lvl>
    <w:lvl w:ilvl="8" w:tentative="0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  <w:rPr>
        <w:rFonts w:hint="default" w:cs="Times New Roman"/>
        <w:u w:val="none" w:color="auto"/>
      </w:rPr>
    </w:lvl>
  </w:abstractNum>
  <w:abstractNum w:abstractNumId="4">
    <w:nsid w:val="62FA66D6"/>
    <w:multiLevelType w:val="multilevel"/>
    <w:tmpl w:val="62FA66D6"/>
    <w:lvl w:ilvl="0" w:tentative="0">
      <w:start w:val="1"/>
      <w:numFmt w:val="decimal"/>
      <w:pStyle w:val="20"/>
      <w:lvlText w:val="(%1)"/>
      <w:lvlJc w:val="left"/>
      <w:pPr>
        <w:tabs>
          <w:tab w:val="left" w:pos="1440"/>
        </w:tabs>
        <w:ind w:left="1440" w:hanging="360"/>
      </w:pPr>
      <w:rPr>
        <w:rFonts w:hint="default" w:ascii="Arial Narrow" w:cs="Arial Narrow"/>
        <w:color w:val="auto"/>
        <w:sz w:val="24"/>
        <w:szCs w:val="24"/>
        <w:u w:val="none" w:color="auto"/>
      </w:rPr>
    </w:lvl>
    <w:lvl w:ilvl="1" w:tentative="0">
      <w:start w:val="1"/>
      <w:numFmt w:val="lowerLetter"/>
      <w:lvlText w:val="%2."/>
      <w:lvlJc w:val="left"/>
      <w:pPr>
        <w:tabs>
          <w:tab w:val="left" w:pos="2160"/>
        </w:tabs>
        <w:ind w:left="2160" w:hanging="360"/>
      </w:pPr>
      <w:rPr>
        <w:rFonts w:hint="default" w:cs="Times New Roman"/>
        <w:u w:val="none" w:color="auto"/>
      </w:rPr>
    </w:lvl>
    <w:lvl w:ilvl="2" w:tentative="0">
      <w:start w:val="1"/>
      <w:numFmt w:val="lowerRoman"/>
      <w:lvlText w:val="%3."/>
      <w:lvlJc w:val="right"/>
      <w:pPr>
        <w:tabs>
          <w:tab w:val="left" w:pos="2880"/>
        </w:tabs>
        <w:ind w:left="2880" w:hanging="180"/>
      </w:pPr>
      <w:rPr>
        <w:rFonts w:hint="default" w:cs="Times New Roman"/>
        <w:u w:val="none" w:color="auto"/>
      </w:rPr>
    </w:lvl>
    <w:lvl w:ilvl="3" w:tentative="0">
      <w:start w:val="1"/>
      <w:numFmt w:val="decimal"/>
      <w:lvlText w:val="%4."/>
      <w:lvlJc w:val="left"/>
      <w:pPr>
        <w:tabs>
          <w:tab w:val="left" w:pos="3600"/>
        </w:tabs>
        <w:ind w:left="3600" w:hanging="360"/>
      </w:pPr>
      <w:rPr>
        <w:rFonts w:hint="default" w:cs="Times New Roman"/>
        <w:u w:val="none" w:color="auto"/>
      </w:rPr>
    </w:lvl>
    <w:lvl w:ilvl="4" w:tentative="0">
      <w:start w:val="1"/>
      <w:numFmt w:val="lowerLetter"/>
      <w:lvlText w:val="%5."/>
      <w:lvlJc w:val="left"/>
      <w:pPr>
        <w:tabs>
          <w:tab w:val="left" w:pos="4320"/>
        </w:tabs>
        <w:ind w:left="4320" w:hanging="360"/>
      </w:pPr>
      <w:rPr>
        <w:rFonts w:hint="default" w:cs="Times New Roman"/>
        <w:u w:val="none" w:color="auto"/>
      </w:rPr>
    </w:lvl>
    <w:lvl w:ilvl="5" w:tentative="0">
      <w:start w:val="1"/>
      <w:numFmt w:val="lowerRoman"/>
      <w:lvlText w:val="%6."/>
      <w:lvlJc w:val="right"/>
      <w:pPr>
        <w:tabs>
          <w:tab w:val="left" w:pos="5040"/>
        </w:tabs>
        <w:ind w:left="5040" w:hanging="180"/>
      </w:pPr>
      <w:rPr>
        <w:rFonts w:hint="default" w:cs="Times New Roman"/>
        <w:u w:val="none" w:color="auto"/>
      </w:rPr>
    </w:lvl>
    <w:lvl w:ilvl="6" w:tentative="0">
      <w:start w:val="1"/>
      <w:numFmt w:val="decimal"/>
      <w:lvlText w:val="%7."/>
      <w:lvlJc w:val="left"/>
      <w:pPr>
        <w:tabs>
          <w:tab w:val="left" w:pos="5760"/>
        </w:tabs>
        <w:ind w:left="5760" w:hanging="360"/>
      </w:pPr>
      <w:rPr>
        <w:rFonts w:hint="default" w:cs="Times New Roman"/>
        <w:u w:val="none" w:color="auto"/>
      </w:rPr>
    </w:lvl>
    <w:lvl w:ilvl="7" w:tentative="0">
      <w:start w:val="1"/>
      <w:numFmt w:val="lowerLetter"/>
      <w:lvlText w:val="%8."/>
      <w:lvlJc w:val="left"/>
      <w:pPr>
        <w:tabs>
          <w:tab w:val="left" w:pos="6480"/>
        </w:tabs>
        <w:ind w:left="6480" w:hanging="360"/>
      </w:pPr>
      <w:rPr>
        <w:rFonts w:hint="default" w:cs="Times New Roman"/>
        <w:u w:val="none" w:color="auto"/>
      </w:rPr>
    </w:lvl>
    <w:lvl w:ilvl="8" w:tentative="0">
      <w:start w:val="1"/>
      <w:numFmt w:val="lowerRoman"/>
      <w:lvlText w:val="%9."/>
      <w:lvlJc w:val="right"/>
      <w:pPr>
        <w:tabs>
          <w:tab w:val="left" w:pos="7200"/>
        </w:tabs>
        <w:ind w:left="7200" w:hanging="180"/>
      </w:pPr>
      <w:rPr>
        <w:rFonts w:hint="default" w:cs="Times New Roman"/>
        <w:u w:val="none" w:color="auto"/>
      </w:rPr>
    </w:lvl>
  </w:abstractNum>
  <w:abstractNum w:abstractNumId="5">
    <w:nsid w:val="764178F5"/>
    <w:multiLevelType w:val="multilevel"/>
    <w:tmpl w:val="764178F5"/>
    <w:lvl w:ilvl="0" w:tentative="0">
      <w:start w:val="1"/>
      <w:numFmt w:val="decimal"/>
      <w:pStyle w:val="18"/>
      <w:lvlText w:val="(%1)"/>
      <w:lvlJc w:val="left"/>
      <w:pPr>
        <w:tabs>
          <w:tab w:val="left" w:pos="0"/>
        </w:tabs>
      </w:pPr>
      <w:rPr>
        <w:rFonts w:hint="default" w:cs="Times New Roman"/>
        <w:u w:val="none" w:color="auto"/>
      </w:rPr>
    </w:lvl>
    <w:lvl w:ilvl="1" w:tentative="0">
      <w:start w:val="1"/>
      <w:numFmt w:val="lowerLetter"/>
      <w:lvlText w:val="%2."/>
      <w:lvlJc w:val="left"/>
      <w:pPr>
        <w:tabs>
          <w:tab w:val="left" w:pos="2007"/>
        </w:tabs>
        <w:ind w:left="2007" w:hanging="360"/>
      </w:pPr>
      <w:rPr>
        <w:rFonts w:hint="default" w:cs="Times New Roman"/>
        <w:u w:val="none" w:color="auto"/>
      </w:rPr>
    </w:lvl>
    <w:lvl w:ilvl="2" w:tentative="0">
      <w:start w:val="1"/>
      <w:numFmt w:val="lowerRoman"/>
      <w:lvlText w:val="%3."/>
      <w:lvlJc w:val="right"/>
      <w:pPr>
        <w:tabs>
          <w:tab w:val="left" w:pos="2727"/>
        </w:tabs>
        <w:ind w:left="2727" w:hanging="180"/>
      </w:pPr>
      <w:rPr>
        <w:rFonts w:hint="default" w:cs="Times New Roman"/>
        <w:u w:val="none" w:color="auto"/>
      </w:rPr>
    </w:lvl>
    <w:lvl w:ilvl="3" w:tentative="0">
      <w:start w:val="1"/>
      <w:numFmt w:val="decimal"/>
      <w:lvlText w:val="%4."/>
      <w:lvlJc w:val="left"/>
      <w:pPr>
        <w:tabs>
          <w:tab w:val="left" w:pos="3447"/>
        </w:tabs>
        <w:ind w:left="3447" w:hanging="360"/>
      </w:pPr>
      <w:rPr>
        <w:rFonts w:hint="default" w:cs="Times New Roman"/>
        <w:u w:val="none" w:color="auto"/>
      </w:rPr>
    </w:lvl>
    <w:lvl w:ilvl="4" w:tentative="0">
      <w:start w:val="1"/>
      <w:numFmt w:val="lowerLetter"/>
      <w:lvlText w:val="%5."/>
      <w:lvlJc w:val="left"/>
      <w:pPr>
        <w:tabs>
          <w:tab w:val="left" w:pos="4167"/>
        </w:tabs>
        <w:ind w:left="4167" w:hanging="360"/>
      </w:pPr>
      <w:rPr>
        <w:rFonts w:hint="default" w:cs="Times New Roman"/>
        <w:u w:val="none" w:color="auto"/>
      </w:rPr>
    </w:lvl>
    <w:lvl w:ilvl="5" w:tentative="0">
      <w:start w:val="1"/>
      <w:numFmt w:val="lowerRoman"/>
      <w:lvlText w:val="%6."/>
      <w:lvlJc w:val="right"/>
      <w:pPr>
        <w:tabs>
          <w:tab w:val="left" w:pos="4887"/>
        </w:tabs>
        <w:ind w:left="4887" w:hanging="180"/>
      </w:pPr>
      <w:rPr>
        <w:rFonts w:hint="default" w:cs="Times New Roman"/>
        <w:u w:val="none" w:color="auto"/>
      </w:rPr>
    </w:lvl>
    <w:lvl w:ilvl="6" w:tentative="0">
      <w:start w:val="1"/>
      <w:numFmt w:val="decimal"/>
      <w:lvlText w:val="%7."/>
      <w:lvlJc w:val="left"/>
      <w:pPr>
        <w:tabs>
          <w:tab w:val="left" w:pos="5607"/>
        </w:tabs>
        <w:ind w:left="5607" w:hanging="360"/>
      </w:pPr>
      <w:rPr>
        <w:rFonts w:hint="default" w:cs="Times New Roman"/>
        <w:u w:val="none" w:color="auto"/>
      </w:rPr>
    </w:lvl>
    <w:lvl w:ilvl="7" w:tentative="0">
      <w:start w:val="1"/>
      <w:numFmt w:val="lowerLetter"/>
      <w:lvlText w:val="%8."/>
      <w:lvlJc w:val="left"/>
      <w:pPr>
        <w:tabs>
          <w:tab w:val="left" w:pos="6327"/>
        </w:tabs>
        <w:ind w:left="6327" w:hanging="360"/>
      </w:pPr>
      <w:rPr>
        <w:rFonts w:hint="default" w:cs="Times New Roman"/>
        <w:u w:val="none" w:color="auto"/>
      </w:rPr>
    </w:lvl>
    <w:lvl w:ilvl="8" w:tentative="0">
      <w:start w:val="1"/>
      <w:numFmt w:val="lowerRoman"/>
      <w:lvlText w:val="%9."/>
      <w:lvlJc w:val="right"/>
      <w:pPr>
        <w:tabs>
          <w:tab w:val="left" w:pos="7047"/>
        </w:tabs>
        <w:ind w:left="7047" w:hanging="180"/>
      </w:pPr>
      <w:rPr>
        <w:rFonts w:hint="default" w:cs="Times New Roman"/>
        <w:u w:val="none" w:color="auto"/>
      </w:r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4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2C203E6D"/>
    <w:rsid w:val="3EAD38D4"/>
    <w:rsid w:val="7349260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iPriority="0" w:semiHidden="0" w:name="Normal"/>
    <w:lsdException w:qFormat="1" w:uiPriority="99" w:name="heading 1"/>
    <w:lsdException w:qFormat="1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qFormat="1" w:uiPriority="39" w:name="toc 1"/>
    <w:lsdException w:qFormat="1" w:uiPriority="39" w:name="toc 2"/>
    <w:lsdException w:qFormat="1" w:uiPriority="39" w:name="toc 3"/>
    <w:lsdException w:qFormat="1" w:uiPriority="39" w:name="toc 4"/>
    <w:lsdException w:qFormat="1" w:uiPriority="39" w:name="toc 5"/>
    <w:lsdException w:qFormat="1" w:uiPriority="39" w:name="toc 6"/>
    <w:lsdException w:qFormat="1" w:uiPriority="39" w:name="toc 7"/>
    <w:lsdException w:qFormat="1" w:uiPriority="39" w:name="toc 8"/>
    <w:lsdException w:qFormat="1" w:uiPriority="39" w:name="toc 9"/>
    <w:lsdException w:unhideWhenUsed="0" w:uiPriority="99" w:semiHidden="0" w:name="Normal Indent"/>
    <w:lsdException w:unhideWhenUsed="0" w:uiPriority="99" w:semiHidden="0" w:name="footnote text"/>
    <w:lsdException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iPriority="99" w:semiHidden="0" w:name="annotation reference"/>
    <w:lsdException w:unhideWhenUsed="0" w:uiPriority="99" w:semiHidden="0" w:name="line number"/>
    <w:lsdException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qFormat="1" w:uiPriority="99" w:name="List Number"/>
    <w:lsdException w:unhideWhenUsed="0" w:uiPriority="99" w:semiHidden="0" w:name="List 2"/>
    <w:lsdException w:unhideWhenUsed="0" w:uiPriority="99" w:semiHidden="0" w:name="List 3"/>
    <w:lsdException w:qFormat="1" w:uiPriority="99" w:name="List 4"/>
    <w:lsdException w:qFormat="1"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iPriority="10" w:name="Title"/>
    <w:lsdException w:unhideWhenUsed="0" w:uiPriority="99" w:semiHidden="0" w:name="Closing"/>
    <w:lsdException w:unhideWhenUsed="0" w:uiPriority="99" w:semiHidden="0" w:name="Signature"/>
    <w:lsdException w:uiPriority="1" w:semiHidden="0" w:name="Default Paragraph Font"/>
    <w:lsdException w:unhideWhenUsed="0" w:uiPriority="99" w:semiHidden="0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iPriority="11" w:name="Subtitle"/>
    <w:lsdException w:qFormat="1" w:uiPriority="99" w:name="Salutation"/>
    <w:lsdException w:qFormat="1" w:uiPriority="99" w:name="Date"/>
    <w:lsdException w:qFormat="1"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nhideWhenUsed="0" w:uiPriority="99" w:semiHidden="0" w:name="Body Text 2"/>
    <w:lsdException w:unhideWhenUsed="0" w:uiPriority="99" w:semiHidden="0" w:name="Body Text 3"/>
    <w:lsdException w:unhideWhenUsed="0" w:uiPriority="99" w:semiHidden="0" w:name="Body Text Indent 2"/>
    <w:lsdException w:unhideWhenUsed="0" w:uiPriority="99" w:semiHidden="0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iPriority="22" w:semiHidden="0" w:name="Strong"/>
    <w:lsdException w:qFormat="1" w:uiPriority="2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nhideWhenUsed="0" w:uiPriority="99" w:semiHidden="0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iPriority="99" w:semiHidden="0" w:name="annotation subject"/>
    <w:lsdException w:qFormat="1" w:uiPriority="99" w:name="Table Simple 1"/>
    <w:lsdException w:qFormat="1" w:uiPriority="99" w:name="Table Simple 2"/>
    <w:lsdException w:qFormat="1" w:uiPriority="99" w:name="Table Simple 3"/>
    <w:lsdException w:qFormat="1" w:uiPriority="99" w:name="Table Classic 1"/>
    <w:lsdException w:qFormat="1" w:uiPriority="99" w:name="Table Classic 2"/>
    <w:lsdException w:qFormat="1" w:uiPriority="99" w:name="Table Classic 3"/>
    <w:lsdException w:qFormat="1" w:uiPriority="99" w:name="Table Classic 4"/>
    <w:lsdException w:qFormat="1" w:uiPriority="99" w:name="Table Colorful 1"/>
    <w:lsdException w:qFormat="1" w:uiPriority="99" w:name="Table Colorful 2"/>
    <w:lsdException w:qFormat="1" w:uiPriority="99" w:name="Table Colorful 3"/>
    <w:lsdException w:qFormat="1" w:uiPriority="99" w:name="Table Columns 1"/>
    <w:lsdException w:qFormat="1" w:uiPriority="99" w:name="Table Columns 2"/>
    <w:lsdException w:qFormat="1" w:uiPriority="99" w:name="Table Columns 3"/>
    <w:lsdException w:qFormat="1" w:uiPriority="99" w:name="Table Columns 4"/>
    <w:lsdException w:qFormat="1" w:uiPriority="99" w:name="Table Columns 5"/>
    <w:lsdException w:qFormat="1" w:uiPriority="99" w:name="Table Grid 1"/>
    <w:lsdException w:qFormat="1" w:uiPriority="99" w:name="Table Grid 2"/>
    <w:lsdException w:qFormat="1" w:uiPriority="99" w:name="Table Grid 3"/>
    <w:lsdException w:qFormat="1" w:uiPriority="99" w:name="Table Grid 4"/>
    <w:lsdException w:qFormat="1" w:uiPriority="99" w:name="Table Grid 5"/>
    <w:lsdException w:qFormat="1" w:uiPriority="99" w:name="Table Grid 6"/>
    <w:lsdException w:qFormat="1" w:uiPriority="99" w:name="Table Grid 7"/>
    <w:lsdException w:qFormat="1" w:uiPriority="99" w:name="Table Grid 8"/>
    <w:lsdException w:qFormat="1" w:uiPriority="99" w:name="Table List 1"/>
    <w:lsdException w:qFormat="1" w:uiPriority="99" w:name="Table List 2"/>
    <w:lsdException w:qFormat="1" w:uiPriority="99" w:name="Table List 3"/>
    <w:lsdException w:qFormat="1" w:uiPriority="99" w:name="Table List 4"/>
    <w:lsdException w:qFormat="1" w:uiPriority="99" w:name="Table List 5"/>
    <w:lsdException w:qFormat="1" w:uiPriority="99" w:name="Table List 6"/>
    <w:lsdException w:qFormat="1" w:uiPriority="99" w:name="Table List 7"/>
    <w:lsdException w:qFormat="1" w:uiPriority="99" w:name="Table List 8"/>
    <w:lsdException w:qFormat="1" w:uiPriority="99" w:name="Table 3D effects 1"/>
    <w:lsdException w:qFormat="1" w:uiPriority="99" w:name="Table 3D effects 2"/>
    <w:lsdException w:qFormat="1" w:uiPriority="99" w:name="Table 3D effects 3"/>
    <w:lsdException w:qFormat="1" w:uiPriority="99" w:name="Table Contemporary"/>
    <w:lsdException w:qFormat="1" w:uiPriority="99" w:name="Table Elegant"/>
    <w:lsdException w:qFormat="1" w:uiPriority="99" w:name="Table Professional"/>
    <w:lsdException w:qFormat="1" w:uiPriority="99" w:name="Table Subtle 1"/>
    <w:lsdException w:qFormat="1" w:uiPriority="99" w:name="Table Subtle 2"/>
    <w:lsdException w:qFormat="1" w:uiPriority="99" w:name="Table Web 1"/>
    <w:lsdException w:qFormat="1" w:uiPriority="99" w:name="Table Web 2"/>
    <w:lsdException w:qFormat="1" w:uiPriority="99" w:name="Table Web 3"/>
    <w:lsdException w:uiPriority="99" w:semiHidden="0" w:name="Balloon Text"/>
    <w:lsdException w:unhideWhenUsed="0" w:uiPriority="99" w:semiHidden="0" w:name="Table Grid"/>
    <w:lsdException w:qFormat="1" w:uiPriority="99" w:name="Table Theme"/>
    <w:lsdException w:qFormat="1" w:uiPriority="60" w:name="Light Shading"/>
    <w:lsdException w:qFormat="1" w:uiPriority="61" w:name="Light List"/>
    <w:lsdException w:qFormat="1" w:uiPriority="62" w:name="Light Grid"/>
    <w:lsdException w:qFormat="1" w:uiPriority="63" w:name="Medium Shading 1"/>
    <w:lsdException w:qFormat="1" w:uiPriority="64" w:name="Medium Shading 2"/>
    <w:lsdException w:qFormat="1" w:uiPriority="65" w:name="Medium List 1"/>
    <w:lsdException w:qFormat="1" w:uiPriority="66" w:name="Medium List 2"/>
    <w:lsdException w:qFormat="1" w:uiPriority="67" w:name="Medium Grid 1"/>
    <w:lsdException w:qFormat="1" w:uiPriority="68" w:name="Medium Grid 2"/>
    <w:lsdException w:qFormat="1" w:uiPriority="69" w:name="Medium Grid 3"/>
    <w:lsdException w:qFormat="1" w:uiPriority="70" w:name="Dark List"/>
    <w:lsdException w:qFormat="1" w:uiPriority="71" w:name="Colorful Shading"/>
    <w:lsdException w:qFormat="1" w:uiPriority="72" w:name="Colorful List"/>
    <w:lsdException w:qFormat="1" w:uiPriority="73" w:name="Colorful Grid"/>
    <w:lsdException w:qFormat="1" w:uiPriority="60" w:name="Light Shading Accent 1"/>
    <w:lsdException w:qFormat="1" w:uiPriority="61" w:name="Light List Accent 1"/>
    <w:lsdException w:qFormat="1" w:uiPriority="62" w:name="Light Grid Accent 1"/>
    <w:lsdException w:qFormat="1" w:uiPriority="63" w:name="Medium Shading 1 Accent 1"/>
    <w:lsdException w:qFormat="1" w:uiPriority="64" w:name="Medium Shading 2 Accent 1"/>
    <w:lsdException w:qFormat="1" w:uiPriority="65" w:name="Medium List 1 Accent 1"/>
    <w:lsdException w:qFormat="1" w:uiPriority="66" w:name="Medium List 2 Accent 1"/>
    <w:lsdException w:qFormat="1" w:uiPriority="67" w:name="Medium Grid 1 Accent 1"/>
    <w:lsdException w:qFormat="1" w:uiPriority="68" w:name="Medium Grid 2 Accent 1"/>
    <w:lsdException w:qFormat="1" w:uiPriority="69" w:name="Medium Grid 3 Accent 1"/>
    <w:lsdException w:qFormat="1" w:uiPriority="70" w:name="Dark List Accent 1"/>
    <w:lsdException w:qFormat="1" w:uiPriority="71" w:name="Colorful Shading Accent 1"/>
    <w:lsdException w:qFormat="1" w:uiPriority="72" w:name="Colorful List Accent 1"/>
    <w:lsdException w:qFormat="1" w:uiPriority="73" w:name="Colorful Grid Accent 1"/>
    <w:lsdException w:qFormat="1" w:uiPriority="60" w:name="Light Shading Accent 2"/>
    <w:lsdException w:qFormat="1" w:uiPriority="61" w:name="Light List Accent 2"/>
    <w:lsdException w:qFormat="1" w:uiPriority="62" w:name="Light Grid Accent 2"/>
    <w:lsdException w:qFormat="1" w:uiPriority="63" w:name="Medium Shading 1 Accent 2"/>
    <w:lsdException w:qFormat="1" w:uiPriority="64" w:name="Medium Shading 2 Accent 2"/>
    <w:lsdException w:qFormat="1" w:uiPriority="65" w:name="Medium List 1 Accent 2"/>
    <w:lsdException w:qFormat="1" w:uiPriority="66" w:name="Medium List 2 Accent 2"/>
    <w:lsdException w:qFormat="1" w:uiPriority="67" w:name="Medium Grid 1 Accent 2"/>
    <w:lsdException w:qFormat="1" w:uiPriority="68" w:name="Medium Grid 2 Accent 2"/>
    <w:lsdException w:qFormat="1" w:uiPriority="69" w:name="Medium Grid 3 Accent 2"/>
    <w:lsdException w:qFormat="1" w:uiPriority="70" w:name="Dark List Accent 2"/>
    <w:lsdException w:qFormat="1" w:uiPriority="71" w:name="Colorful Shading Accent 2"/>
    <w:lsdException w:qFormat="1" w:uiPriority="72" w:name="Colorful List Accent 2"/>
    <w:lsdException w:qFormat="1" w:uiPriority="73" w:name="Colorful Grid Accent 2"/>
    <w:lsdException w:qFormat="1" w:uiPriority="60" w:name="Light Shading Accent 3"/>
    <w:lsdException w:qFormat="1" w:uiPriority="61" w:name="Light List Accent 3"/>
    <w:lsdException w:qFormat="1" w:uiPriority="62" w:name="Light Grid Accent 3"/>
    <w:lsdException w:qFormat="1" w:uiPriority="63" w:name="Medium Shading 1 Accent 3"/>
    <w:lsdException w:qFormat="1" w:uiPriority="64" w:name="Medium Shading 2 Accent 3"/>
    <w:lsdException w:qFormat="1" w:uiPriority="65" w:name="Medium List 1 Accent 3"/>
    <w:lsdException w:qFormat="1" w:uiPriority="66" w:name="Medium List 2 Accent 3"/>
    <w:lsdException w:qFormat="1" w:uiPriority="67" w:name="Medium Grid 1 Accent 3"/>
    <w:lsdException w:qFormat="1" w:uiPriority="68" w:name="Medium Grid 2 Accent 3"/>
    <w:lsdException w:qFormat="1" w:uiPriority="69" w:name="Medium Grid 3 Accent 3"/>
    <w:lsdException w:qFormat="1" w:uiPriority="70" w:name="Dark List Accent 3"/>
    <w:lsdException w:qFormat="1" w:uiPriority="71" w:name="Colorful Shading Accent 3"/>
    <w:lsdException w:qFormat="1" w:uiPriority="72" w:name="Colorful List Accent 3"/>
    <w:lsdException w:qFormat="1" w:uiPriority="73" w:name="Colorful Grid Accent 3"/>
    <w:lsdException w:qFormat="1" w:uiPriority="60" w:name="Light Shading Accent 4"/>
    <w:lsdException w:qFormat="1" w:uiPriority="61" w:name="Light List Accent 4"/>
    <w:lsdException w:qFormat="1" w:uiPriority="62" w:name="Light Grid Accent 4"/>
    <w:lsdException w:qFormat="1" w:uiPriority="63" w:name="Medium Shading 1 Accent 4"/>
    <w:lsdException w:qFormat="1" w:uiPriority="64" w:name="Medium Shading 2 Accent 4"/>
    <w:lsdException w:qFormat="1" w:uiPriority="65" w:name="Medium List 1 Accent 4"/>
    <w:lsdException w:qFormat="1" w:uiPriority="66" w:name="Medium List 2 Accent 4"/>
    <w:lsdException w:qFormat="1" w:uiPriority="67" w:name="Medium Grid 1 Accent 4"/>
    <w:lsdException w:qFormat="1" w:uiPriority="68" w:name="Medium Grid 2 Accent 4"/>
    <w:lsdException w:qFormat="1" w:uiPriority="69" w:name="Medium Grid 3 Accent 4"/>
    <w:lsdException w:qFormat="1" w:uiPriority="70" w:name="Dark List Accent 4"/>
    <w:lsdException w:qFormat="1" w:uiPriority="71" w:name="Colorful Shading Accent 4"/>
    <w:lsdException w:qFormat="1" w:uiPriority="72" w:name="Colorful List Accent 4"/>
    <w:lsdException w:qFormat="1" w:uiPriority="73" w:name="Colorful Grid Accent 4"/>
    <w:lsdException w:qFormat="1" w:uiPriority="60" w:name="Light Shading Accent 5"/>
    <w:lsdException w:qFormat="1" w:uiPriority="61" w:name="Light List Accent 5"/>
    <w:lsdException w:qFormat="1" w:uiPriority="62" w:name="Light Grid Accent 5"/>
    <w:lsdException w:qFormat="1" w:uiPriority="63" w:name="Medium Shading 1 Accent 5"/>
    <w:lsdException w:qFormat="1" w:uiPriority="64" w:name="Medium Shading 2 Accent 5"/>
    <w:lsdException w:qFormat="1" w:uiPriority="65" w:name="Medium List 1 Accent 5"/>
    <w:lsdException w:qFormat="1" w:uiPriority="66" w:name="Medium List 2 Accent 5"/>
    <w:lsdException w:qFormat="1" w:uiPriority="67" w:name="Medium Grid 1 Accent 5"/>
    <w:lsdException w:qFormat="1" w:uiPriority="68" w:name="Medium Grid 2 Accent 5"/>
    <w:lsdException w:qFormat="1" w:uiPriority="69" w:name="Medium Grid 3 Accent 5"/>
    <w:lsdException w:qFormat="1" w:uiPriority="70" w:name="Dark List Accent 5"/>
    <w:lsdException w:qFormat="1" w:uiPriority="71" w:name="Colorful Shading Accent 5"/>
    <w:lsdException w:qFormat="1" w:uiPriority="72" w:name="Colorful List Accent 5"/>
    <w:lsdException w:qFormat="1" w:uiPriority="73" w:name="Colorful Grid Accent 5"/>
    <w:lsdException w:qFormat="1" w:uiPriority="60" w:name="Light Shading Accent 6"/>
    <w:lsdException w:qFormat="1" w:uiPriority="61" w:name="Light List Accent 6"/>
    <w:lsdException w:qFormat="1" w:uiPriority="62" w:name="Light Grid Accent 6"/>
    <w:lsdException w:qFormat="1" w:uiPriority="63" w:name="Medium Shading 1 Accent 6"/>
    <w:lsdException w:qFormat="1" w:uiPriority="64" w:name="Medium Shading 2 Accent 6"/>
    <w:lsdException w:qFormat="1" w:uiPriority="65" w:name="Medium List 1 Accent 6"/>
    <w:lsdException w:qFormat="1" w:uiPriority="66" w:name="Medium List 2 Accent 6"/>
    <w:lsdException w:qFormat="1" w:uiPriority="67" w:name="Medium Grid 1 Accent 6"/>
    <w:lsdException w:qFormat="1" w:uiPriority="68" w:name="Medium Grid 2 Accent 6"/>
    <w:lsdException w:qFormat="1" w:uiPriority="69" w:name="Medium Grid 3 Accent 6"/>
    <w:lsdException w:qFormat="1" w:uiPriority="70" w:name="Dark List Accent 6"/>
    <w:lsdException w:qFormat="1" w:uiPriority="71" w:name="Colorful Shading Accent 6"/>
    <w:lsdException w:qFormat="1" w:uiPriority="72" w:name="Colorful List Accent 6"/>
    <w:lsdException w:qFormat="1" w:uiPriority="73" w:name="Colorful Grid Accent 6"/>
  </w:latentStyles>
  <w:style w:type="paragraph" w:default="1" w:styleId="1">
    <w:name w:val="Normal"/>
    <w:unhideWhenUsed/>
    <w:qFormat/>
    <w:uiPriority w:val="0"/>
    <w:pPr>
      <w:spacing w:before="120" w:beforeLines="0" w:after="120" w:afterLines="0" w:line="360" w:lineRule="auto"/>
      <w:jc w:val="both"/>
    </w:pPr>
    <w:rPr>
      <w:rFonts w:hint="default" w:ascii="Arial Narrow" w:cs="Arial Narrow"/>
      <w:sz w:val="20"/>
      <w:szCs w:val="24"/>
      <w:lang w:val="sk-SK" w:eastAsia="cs-CZ" w:bidi="ar-SA"/>
    </w:rPr>
  </w:style>
  <w:style w:type="paragraph" w:styleId="2">
    <w:name w:val="heading 2"/>
    <w:basedOn w:val="1"/>
    <w:next w:val="1"/>
    <w:link w:val="23"/>
    <w:unhideWhenUsed/>
    <w:qFormat/>
    <w:uiPriority w:val="99"/>
    <w:pPr>
      <w:keepNext/>
      <w:spacing w:before="240" w:beforeLines="0" w:after="60" w:afterLines="0"/>
      <w:outlineLvl w:val="1"/>
    </w:pPr>
    <w:rPr>
      <w:rFonts w:hint="default"/>
      <w:b/>
      <w:i/>
      <w:sz w:val="28"/>
      <w:szCs w:val="28"/>
    </w:rPr>
  </w:style>
  <w:style w:type="character" w:default="1" w:styleId="3">
    <w:name w:val="Default Paragraph Font"/>
    <w:unhideWhenUsed/>
    <w:uiPriority w:val="1"/>
    <w:rPr>
      <w:rFonts w:hint="default"/>
      <w:sz w:val="24"/>
      <w:szCs w:val="24"/>
    </w:rPr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26"/>
    <w:unhideWhenUsed/>
    <w:uiPriority w:val="99"/>
    <w:pPr>
      <w:spacing w:before="0" w:beforeLines="0" w:after="0" w:afterLines="0" w:line="240" w:lineRule="auto"/>
    </w:pPr>
    <w:rPr>
      <w:rFonts w:hint="default" w:ascii="Tahoma" w:cs="Tahoma"/>
      <w:sz w:val="16"/>
      <w:szCs w:val="16"/>
    </w:rPr>
  </w:style>
  <w:style w:type="character" w:styleId="6">
    <w:name w:val="annotation reference"/>
    <w:basedOn w:val="3"/>
    <w:unhideWhenUsed/>
    <w:uiPriority w:val="99"/>
    <w:rPr>
      <w:rFonts w:hint="default" w:cs="Times New Roman"/>
      <w:sz w:val="16"/>
      <w:szCs w:val="16"/>
    </w:rPr>
  </w:style>
  <w:style w:type="paragraph" w:styleId="7">
    <w:name w:val="annotation text"/>
    <w:basedOn w:val="1"/>
    <w:link w:val="28"/>
    <w:unhideWhenUsed/>
    <w:uiPriority w:val="99"/>
    <w:pPr>
      <w:spacing w:beforeLines="0" w:afterLines="0"/>
    </w:pPr>
    <w:rPr>
      <w:rFonts w:hint="default"/>
      <w:sz w:val="20"/>
      <w:szCs w:val="20"/>
    </w:rPr>
  </w:style>
  <w:style w:type="paragraph" w:styleId="8">
    <w:name w:val="annotation subject"/>
    <w:basedOn w:val="7"/>
    <w:next w:val="7"/>
    <w:link w:val="29"/>
    <w:unhideWhenUsed/>
    <w:uiPriority w:val="99"/>
    <w:pPr>
      <w:spacing w:beforeLines="0" w:afterLines="0"/>
    </w:pPr>
    <w:rPr>
      <w:rFonts w:hint="default"/>
      <w:b/>
      <w:sz w:val="20"/>
      <w:szCs w:val="20"/>
    </w:rPr>
  </w:style>
  <w:style w:type="paragraph" w:styleId="9">
    <w:name w:val="footer"/>
    <w:basedOn w:val="1"/>
    <w:link w:val="25"/>
    <w:unhideWhenUsed/>
    <w:uiPriority w:val="99"/>
    <w:pPr>
      <w:tabs>
        <w:tab w:val="center" w:pos="4536"/>
        <w:tab w:val="right" w:pos="9072"/>
      </w:tabs>
      <w:spacing w:beforeLines="0" w:afterLines="0"/>
    </w:pPr>
    <w:rPr>
      <w:rFonts w:hint="default"/>
      <w:sz w:val="20"/>
      <w:szCs w:val="24"/>
    </w:rPr>
  </w:style>
  <w:style w:type="paragraph" w:styleId="10">
    <w:name w:val="header"/>
    <w:basedOn w:val="1"/>
    <w:link w:val="27"/>
    <w:unhideWhenUsed/>
    <w:uiPriority w:val="99"/>
    <w:pPr>
      <w:tabs>
        <w:tab w:val="center" w:pos="4536"/>
        <w:tab w:val="right" w:pos="9072"/>
      </w:tabs>
      <w:spacing w:beforeLines="0" w:afterLines="0"/>
    </w:pPr>
    <w:rPr>
      <w:rFonts w:hint="default"/>
      <w:sz w:val="20"/>
      <w:szCs w:val="24"/>
    </w:rPr>
  </w:style>
  <w:style w:type="character" w:styleId="11">
    <w:name w:val="page number"/>
    <w:basedOn w:val="3"/>
    <w:unhideWhenUsed/>
    <w:uiPriority w:val="99"/>
    <w:rPr>
      <w:rFonts w:hint="default" w:cs="Times New Roman"/>
      <w:sz w:val="24"/>
      <w:szCs w:val="24"/>
    </w:rPr>
  </w:style>
  <w:style w:type="character" w:styleId="12">
    <w:name w:val="Strong"/>
    <w:basedOn w:val="3"/>
    <w:unhideWhenUsed/>
    <w:qFormat/>
    <w:uiPriority w:val="22"/>
    <w:rPr>
      <w:rFonts w:hint="default" w:cs="Times New Roman"/>
      <w:b/>
      <w:sz w:val="24"/>
      <w:szCs w:val="24"/>
    </w:rPr>
  </w:style>
  <w:style w:type="paragraph" w:customStyle="1" w:styleId="13">
    <w:name w:val="heading 1"/>
    <w:basedOn w:val="1"/>
    <w:next w:val="2"/>
    <w:link w:val="22"/>
    <w:unhideWhenUsed/>
    <w:qFormat/>
    <w:uiPriority w:val="99"/>
    <w:pPr>
      <w:keepNext/>
      <w:numPr>
        <w:ilvl w:val="0"/>
        <w:numId w:val="1"/>
      </w:numPr>
      <w:spacing w:beforeLines="0" w:afterLines="0" w:line="240" w:lineRule="auto"/>
      <w:jc w:val="center"/>
      <w:outlineLvl w:val="0"/>
    </w:pPr>
    <w:rPr>
      <w:rFonts w:hint="default"/>
      <w:b/>
      <w:sz w:val="20"/>
      <w:szCs w:val="24"/>
      <w:lang w:eastAsia="sk-SK"/>
    </w:rPr>
  </w:style>
  <w:style w:type="paragraph" w:customStyle="1" w:styleId="14">
    <w:name w:val="Štýl 11 pt Tučné Čierna Podľa okraja Vľavo:  019 cm Riadkova..."/>
    <w:next w:val="1"/>
    <w:unhideWhenUsed/>
    <w:uiPriority w:val="99"/>
    <w:pPr>
      <w:spacing w:beforeLines="0" w:afterLines="0" w:line="360" w:lineRule="auto"/>
      <w:jc w:val="both"/>
    </w:pPr>
    <w:rPr>
      <w:rFonts w:hint="default" w:ascii="Arial" w:cs="Arial"/>
      <w:color w:val="000000"/>
      <w:sz w:val="24"/>
      <w:szCs w:val="24"/>
      <w:lang w:val="sk-SK" w:eastAsia="cs-CZ" w:bidi="ar-SA"/>
    </w:rPr>
  </w:style>
  <w:style w:type="paragraph" w:customStyle="1" w:styleId="15">
    <w:name w:val="Štýl Podľa okraja Vľavo:  019 cm Riadkovanie:  15 riadka"/>
    <w:basedOn w:val="1"/>
    <w:unhideWhenUsed/>
    <w:uiPriority w:val="99"/>
    <w:pPr>
      <w:spacing w:beforeLines="0" w:afterLines="0"/>
      <w:ind w:left="108"/>
    </w:pPr>
    <w:rPr>
      <w:rFonts w:hint="default"/>
      <w:sz w:val="20"/>
      <w:szCs w:val="24"/>
    </w:rPr>
  </w:style>
  <w:style w:type="paragraph" w:customStyle="1" w:styleId="16">
    <w:name w:val="Bod odôvodnenie"/>
    <w:unhideWhenUsed/>
    <w:uiPriority w:val="99"/>
    <w:pPr>
      <w:numPr>
        <w:ilvl w:val="0"/>
        <w:numId w:val="2"/>
      </w:numPr>
      <w:spacing w:before="120" w:beforeLines="0" w:after="120" w:afterLines="0"/>
    </w:pPr>
    <w:rPr>
      <w:rFonts w:hint="default" w:ascii="Arial" w:cs="Arial"/>
      <w:b/>
      <w:sz w:val="24"/>
      <w:szCs w:val="24"/>
      <w:lang w:val="sk-SK" w:eastAsia="cs-CZ" w:bidi="ar-SA"/>
    </w:rPr>
  </w:style>
  <w:style w:type="paragraph" w:customStyle="1" w:styleId="17">
    <w:name w:val="Štýl Arial Podľa okraja"/>
    <w:unhideWhenUsed/>
    <w:uiPriority w:val="99"/>
    <w:pPr>
      <w:spacing w:beforeLines="0" w:afterLines="0"/>
      <w:jc w:val="both"/>
    </w:pPr>
    <w:rPr>
      <w:rFonts w:hint="default" w:ascii="Arial" w:cs="Arial"/>
      <w:sz w:val="16"/>
      <w:szCs w:val="16"/>
      <w:lang w:val="sk-SK" w:eastAsia="cs-CZ" w:bidi="ar-SA"/>
    </w:rPr>
  </w:style>
  <w:style w:type="paragraph" w:customStyle="1" w:styleId="18">
    <w:name w:val="Text poznámky"/>
    <w:basedOn w:val="1"/>
    <w:unhideWhenUsed/>
    <w:uiPriority w:val="99"/>
    <w:pPr>
      <w:numPr>
        <w:ilvl w:val="0"/>
        <w:numId w:val="3"/>
      </w:numPr>
      <w:spacing w:beforeLines="0" w:afterLines="0" w:line="240" w:lineRule="auto"/>
    </w:pPr>
    <w:rPr>
      <w:rFonts w:hint="default"/>
      <w:sz w:val="20"/>
      <w:szCs w:val="24"/>
    </w:rPr>
  </w:style>
  <w:style w:type="paragraph" w:customStyle="1" w:styleId="19">
    <w:name w:val="Normálny1"/>
    <w:next w:val="1"/>
    <w:unhideWhenUsed/>
    <w:qFormat/>
    <w:uiPriority w:val="0"/>
    <w:pPr>
      <w:spacing w:before="120" w:beforeLines="0" w:after="120" w:afterLines="0" w:line="360" w:lineRule="auto"/>
      <w:ind w:firstLine="709"/>
      <w:jc w:val="both"/>
    </w:pPr>
    <w:rPr>
      <w:rFonts w:hint="default" w:ascii="Arial" w:cs="Arial"/>
      <w:sz w:val="24"/>
      <w:szCs w:val="24"/>
      <w:lang w:val="sk-SK" w:eastAsia="cs-CZ" w:bidi="ar-SA"/>
    </w:rPr>
  </w:style>
  <w:style w:type="paragraph" w:customStyle="1" w:styleId="20">
    <w:name w:val="Text opatrenia"/>
    <w:unhideWhenUsed/>
    <w:uiPriority w:val="0"/>
    <w:pPr>
      <w:numPr>
        <w:ilvl w:val="0"/>
        <w:numId w:val="4"/>
      </w:numPr>
      <w:spacing w:before="120" w:beforeLines="0" w:after="120" w:afterLines="0"/>
      <w:ind w:left="1440" w:hanging="360"/>
      <w:jc w:val="both"/>
    </w:pPr>
    <w:rPr>
      <w:rFonts w:hint="default" w:ascii="Arial Narrow" w:cs="Arial Narrow"/>
      <w:sz w:val="22"/>
      <w:szCs w:val="22"/>
      <w:lang w:val="sk-SK" w:eastAsia="cs-CZ" w:bidi="ar-SA"/>
    </w:rPr>
  </w:style>
  <w:style w:type="paragraph" w:customStyle="1" w:styleId="21">
    <w:name w:val="Top Header"/>
    <w:basedOn w:val="1"/>
    <w:unhideWhenUsed/>
    <w:qFormat/>
    <w:uiPriority w:val="0"/>
    <w:pPr>
      <w:spacing w:before="0" w:beforeLines="0" w:after="0" w:afterLines="0" w:line="240" w:lineRule="auto"/>
      <w:jc w:val="center"/>
    </w:pPr>
    <w:rPr>
      <w:rFonts w:hint="default"/>
      <w:b/>
      <w:sz w:val="22"/>
      <w:szCs w:val="22"/>
      <w:lang w:eastAsia="en-US"/>
    </w:rPr>
  </w:style>
  <w:style w:type="character" w:customStyle="1" w:styleId="22">
    <w:name w:val="Nadpis 1 Char"/>
    <w:aliases w:val="Nadpis opatrenia  1 Char"/>
    <w:basedOn w:val="3"/>
    <w:link w:val="13"/>
    <w:unhideWhenUsed/>
    <w:locked/>
    <w:uiPriority w:val="9"/>
    <w:rPr>
      <w:rFonts w:hint="eastAsia" w:ascii="Cambria" w:hAnsi="Cambria" w:eastAsia="Times New Roman" w:cs="Times New Roman"/>
      <w:b/>
      <w:kern w:val="32"/>
      <w:sz w:val="32"/>
      <w:szCs w:val="32"/>
      <w:lang w:eastAsia="cs-CZ"/>
    </w:rPr>
  </w:style>
  <w:style w:type="character" w:customStyle="1" w:styleId="23">
    <w:name w:val="Nadpis 2 Char"/>
    <w:basedOn w:val="3"/>
    <w:link w:val="2"/>
    <w:unhideWhenUsed/>
    <w:locked/>
    <w:uiPriority w:val="9"/>
    <w:rPr>
      <w:rFonts w:hint="eastAsia" w:ascii="Cambria" w:hAnsi="Cambria" w:eastAsia="Times New Roman" w:cs="Times New Roman"/>
      <w:b/>
      <w:i/>
      <w:sz w:val="28"/>
      <w:szCs w:val="28"/>
      <w:lang w:eastAsia="cs-CZ"/>
    </w:rPr>
  </w:style>
  <w:style w:type="character" w:customStyle="1" w:styleId="24">
    <w:name w:val="Štýl Štýl § názov Char + 115 pt + Antique Olive Nie je Tučné"/>
    <w:basedOn w:val="3"/>
    <w:unhideWhenUsed/>
    <w:uiPriority w:val="99"/>
    <w:rPr>
      <w:rFonts w:hint="default" w:ascii="Arial" w:cs="Arial"/>
      <w:b/>
      <w:sz w:val="20"/>
      <w:szCs w:val="20"/>
      <w:lang w:val="sk-SK" w:eastAsia="sk-SK"/>
    </w:rPr>
  </w:style>
  <w:style w:type="character" w:customStyle="1" w:styleId="25">
    <w:name w:val="Päta Char"/>
    <w:basedOn w:val="3"/>
    <w:link w:val="9"/>
    <w:unhideWhenUsed/>
    <w:locked/>
    <w:uiPriority w:val="99"/>
    <w:rPr>
      <w:rFonts w:hint="default" w:ascii="Arial" w:cs="Arial"/>
      <w:sz w:val="24"/>
      <w:szCs w:val="24"/>
      <w:lang w:eastAsia="cs-CZ"/>
    </w:rPr>
  </w:style>
  <w:style w:type="character" w:customStyle="1" w:styleId="26">
    <w:name w:val="Text bubliny Char"/>
    <w:basedOn w:val="3"/>
    <w:link w:val="5"/>
    <w:unhideWhenUsed/>
    <w:locked/>
    <w:uiPriority w:val="99"/>
    <w:rPr>
      <w:rFonts w:hint="default" w:ascii="Tahoma" w:cs="Tahoma"/>
      <w:sz w:val="16"/>
      <w:szCs w:val="16"/>
      <w:lang w:eastAsia="cs-CZ"/>
    </w:rPr>
  </w:style>
  <w:style w:type="character" w:customStyle="1" w:styleId="27">
    <w:name w:val="Hlavička Char"/>
    <w:basedOn w:val="3"/>
    <w:link w:val="10"/>
    <w:unhideWhenUsed/>
    <w:locked/>
    <w:uiPriority w:val="99"/>
    <w:rPr>
      <w:rFonts w:hint="default" w:ascii="Arial Narrow" w:cs="Arial Narrow"/>
      <w:sz w:val="24"/>
      <w:szCs w:val="24"/>
      <w:lang w:eastAsia="cs-CZ"/>
    </w:rPr>
  </w:style>
  <w:style w:type="character" w:customStyle="1" w:styleId="28">
    <w:name w:val="Text komentára Char"/>
    <w:basedOn w:val="3"/>
    <w:link w:val="7"/>
    <w:unhideWhenUsed/>
    <w:locked/>
    <w:uiPriority w:val="99"/>
    <w:rPr>
      <w:rFonts w:hint="default" w:ascii="Arial Narrow" w:cs="Arial Narrow"/>
      <w:sz w:val="24"/>
      <w:szCs w:val="24"/>
      <w:lang w:eastAsia="cs-CZ"/>
    </w:rPr>
  </w:style>
  <w:style w:type="character" w:customStyle="1" w:styleId="29">
    <w:name w:val="Predmet komentára Char"/>
    <w:basedOn w:val="28"/>
    <w:link w:val="8"/>
    <w:unhideWhenUsed/>
    <w:locked/>
    <w:uiPriority w:val="99"/>
    <w:rPr>
      <w:rFonts w:hint="default"/>
      <w:b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otalTime>5</TotalTime>
  <ScaleCrop>false</ScaleCrop>
  <LinksUpToDate>false</LinksUpToDate>
  <Application>WPS Office_11.2.0.11513_F1E327BC-269C-435d-A152-05C5408002CA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2023-03-28T18:33:31Z</dcterms:created>
  <dc:creator>katat</dc:creator>
  <cp:lastModifiedBy>katat</cp:lastModifiedBy>
  <dcterms:modified xsi:type="dcterms:W3CDTF">2023-03-28T18:39:20Z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FDAAC647A26C4C6799862C9FE812B1CD</vt:lpwstr>
  </property>
</Properties>
</file>