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Bdr>
          <w:top w:val="single" w:color="auto" w:sz="4" w:space="0"/>
          <w:left w:val="single" w:color="auto" w:sz="4" w:space="4"/>
          <w:bottom w:val="single" w:color="auto" w:sz="4" w:space="1"/>
          <w:right w:val="single" w:color="auto" w:sz="4" w:space="6"/>
        </w:pBdr>
        <w:spacing w:after="120"/>
        <w:jc w:val="center"/>
        <w:rPr>
          <w:rFonts w:hint="default" w:ascii="Arial Narrow" w:hAnsi="Arial Narrow"/>
          <w:b/>
          <w:lang w:val="sk-SK"/>
        </w:rPr>
      </w:pPr>
      <w:r>
        <w:rPr>
          <w:rFonts w:ascii="Arial Narrow" w:hAnsi="Arial Narrow"/>
          <w:b/>
        </w:rPr>
        <w:t>POZNÁMKY K ÚČTOVNEJ ZÁVIERKE 20</w:t>
      </w:r>
      <w:r>
        <w:rPr>
          <w:rFonts w:hint="default" w:ascii="Arial Narrow" w:hAnsi="Arial Narrow"/>
          <w:b/>
          <w:lang w:val="sk-SK"/>
        </w:rPr>
        <w:t>22</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sz w:val="22"/>
          <w:szCs w:val="22"/>
        </w:rPr>
        <w:t xml:space="preserve">zostavené podľa Opatrenia č.MF/23378/2014-74 (FS č.12/2014), ktorým sa ustanovujú podrobnosti o individuálnej účtovnej závierke a rozsahu údajov určených z individuálnej účtovnej závierky na zverejnenie </w:t>
      </w:r>
    </w:p>
    <w:p>
      <w:pPr>
        <w:pBdr>
          <w:top w:val="single" w:color="auto" w:sz="4" w:space="0"/>
          <w:left w:val="single" w:color="auto" w:sz="4" w:space="4"/>
          <w:bottom w:val="single" w:color="auto" w:sz="4" w:space="1"/>
          <w:right w:val="single" w:color="auto" w:sz="4" w:space="6"/>
        </w:pBdr>
        <w:jc w:val="center"/>
        <w:rPr>
          <w:rFonts w:ascii="Arial Narrow" w:hAnsi="Arial Narrow"/>
          <w:sz w:val="22"/>
          <w:szCs w:val="22"/>
        </w:rPr>
      </w:pPr>
      <w:r>
        <w:rPr>
          <w:rFonts w:ascii="Arial Narrow" w:hAnsi="Arial Narrow"/>
          <w:b/>
          <w:sz w:val="22"/>
          <w:szCs w:val="22"/>
        </w:rPr>
        <w:t>pre malé účtovné jednotky</w:t>
      </w:r>
      <w:r>
        <w:rPr>
          <w:rFonts w:ascii="Arial Narrow" w:hAnsi="Arial Narrow"/>
          <w:sz w:val="22"/>
          <w:szCs w:val="22"/>
        </w:rPr>
        <w:t xml:space="preserve"> </w:t>
      </w:r>
    </w:p>
    <w:p>
      <w:pPr>
        <w:rPr>
          <w:rFonts w:ascii="Arial Narrow" w:hAnsi="Arial Narrow"/>
          <w:sz w:val="22"/>
          <w:szCs w:val="22"/>
        </w:rPr>
      </w:pPr>
    </w:p>
    <w:p>
      <w:pPr>
        <w:jc w:val="center"/>
        <w:rPr>
          <w:rFonts w:ascii="Arial Narrow" w:hAnsi="Arial Narrow" w:cs="Arial Narrow"/>
          <w:b/>
          <w:sz w:val="22"/>
          <w:szCs w:val="22"/>
          <w:u w:val="single"/>
        </w:rPr>
      </w:pPr>
      <w:r>
        <w:rPr>
          <w:rFonts w:ascii="Arial Narrow" w:hAnsi="Arial Narrow" w:cs="Arial Narrow"/>
          <w:b/>
          <w:sz w:val="22"/>
          <w:szCs w:val="22"/>
          <w:u w:val="single"/>
        </w:rPr>
        <w:t>Článok I – VŠEOBECNÉ INFORMÁCIE</w:t>
      </w:r>
    </w:p>
    <w:p>
      <w:pPr>
        <w:rPr>
          <w:rFonts w:ascii="Arial Narrow" w:hAnsi="Arial Narrow"/>
          <w:sz w:val="22"/>
          <w:szCs w:val="22"/>
        </w:rPr>
      </w:pPr>
    </w:p>
    <w:p>
      <w:pPr>
        <w:rPr>
          <w:rFonts w:ascii="Arial Narrow" w:hAnsi="Arial Narrow"/>
          <w:sz w:val="22"/>
          <w:szCs w:val="22"/>
        </w:rPr>
      </w:pPr>
      <w:r>
        <w:rPr>
          <w:rFonts w:ascii="Arial Narrow" w:hAnsi="Arial Narrow" w:cs="Arial Narrow"/>
          <w:sz w:val="22"/>
          <w:szCs w:val="22"/>
        </w:rPr>
        <w:t xml:space="preserve">1) </w:t>
      </w:r>
      <w:r>
        <w:rPr>
          <w:rFonts w:ascii="Arial Narrow" w:hAnsi="Arial Narrow" w:cs="Arial Narrow"/>
          <w:sz w:val="22"/>
          <w:szCs w:val="22"/>
          <w:u w:val="single"/>
        </w:rPr>
        <w:t>Základné informácie o účtovnej jednotke</w:t>
      </w:r>
      <w:r>
        <w:rPr>
          <w:rFonts w:ascii="Arial Narrow" w:hAnsi="Arial Narrow" w:cs="Arial Narrow"/>
          <w:sz w:val="22"/>
          <w:szCs w:val="22"/>
        </w:rPr>
        <w:t>:</w:t>
      </w:r>
    </w:p>
    <w:p>
      <w:pPr>
        <w:rPr>
          <w:rFonts w:ascii="Arial Narrow" w:hAnsi="Arial Narrow"/>
          <w:sz w:val="22"/>
          <w:szCs w:val="22"/>
        </w:rPr>
      </w:pPr>
    </w:p>
    <w:tbl>
      <w:tblPr>
        <w:tblStyle w:val="5"/>
        <w:tblW w:w="4944" w:type="pct"/>
        <w:tblInd w:w="0" w:type="dxa"/>
        <w:tblLayout w:type="fixed"/>
        <w:tblCellMar>
          <w:top w:w="0" w:type="dxa"/>
          <w:left w:w="108" w:type="dxa"/>
          <w:bottom w:w="0" w:type="dxa"/>
          <w:right w:w="108" w:type="dxa"/>
        </w:tblCellMar>
      </w:tblPr>
      <w:tblGrid>
        <w:gridCol w:w="2635"/>
        <w:gridCol w:w="6970"/>
      </w:tblGrid>
      <w:tr>
        <w:tblPrEx>
          <w:tblCellMar>
            <w:top w:w="0" w:type="dxa"/>
            <w:left w:w="108" w:type="dxa"/>
            <w:bottom w:w="0" w:type="dxa"/>
            <w:right w:w="108" w:type="dxa"/>
          </w:tblCellMar>
        </w:tblPrEx>
        <w:trPr>
          <w:trHeight w:val="231"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Obchodné meno: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b/>
                <w:sz w:val="22"/>
                <w:szCs w:val="22"/>
              </w:rPr>
            </w:pPr>
            <w:r>
              <w:rPr>
                <w:rFonts w:ascii="Arial Narrow" w:hAnsi="Arial Narrow" w:cs="Arial Narrow"/>
                <w:b/>
                <w:sz w:val="22"/>
                <w:szCs w:val="22"/>
              </w:rPr>
              <w:t>EkoBia,  s. r. o.</w:t>
            </w:r>
          </w:p>
        </w:tc>
      </w:tr>
      <w:tr>
        <w:tblPrEx>
          <w:tblCellMar>
            <w:top w:w="0" w:type="dxa"/>
            <w:left w:w="108" w:type="dxa"/>
            <w:bottom w:w="0" w:type="dxa"/>
            <w:right w:w="108" w:type="dxa"/>
          </w:tblCellMar>
        </w:tblPrEx>
        <w:trPr>
          <w:trHeight w:val="249"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Sídlo:</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Opletalova 84, 841 07  Bratislava</w:t>
            </w:r>
          </w:p>
        </w:tc>
      </w:tr>
      <w:tr>
        <w:tblPrEx>
          <w:tblCellMar>
            <w:top w:w="0" w:type="dxa"/>
            <w:left w:w="108" w:type="dxa"/>
            <w:bottom w:w="0" w:type="dxa"/>
            <w:right w:w="108" w:type="dxa"/>
          </w:tblCellMar>
        </w:tblPrEx>
        <w:trPr>
          <w:trHeight w:val="125" w:hRule="atLeast"/>
        </w:trPr>
        <w:tc>
          <w:tcPr>
            <w:tcW w:w="1372"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Právna forma:</w:t>
            </w:r>
          </w:p>
        </w:tc>
        <w:tc>
          <w:tcPr>
            <w:tcW w:w="3628" w:type="pct"/>
            <w:tcBorders>
              <w:top w:val="single" w:color="auto" w:sz="4" w:space="0"/>
              <w:left w:val="single" w:color="auto" w:sz="4" w:space="0"/>
              <w:bottom w:val="single" w:color="auto" w:sz="4" w:space="0"/>
              <w:right w:val="single" w:color="auto" w:sz="4"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s ručením obmedzeným</w:t>
            </w:r>
          </w:p>
        </w:tc>
      </w:tr>
      <w:tr>
        <w:tblPrEx>
          <w:tblCellMar>
            <w:top w:w="0" w:type="dxa"/>
            <w:left w:w="108" w:type="dxa"/>
            <w:bottom w:w="0" w:type="dxa"/>
            <w:right w:w="108" w:type="dxa"/>
          </w:tblCellMar>
        </w:tblPrEx>
        <w:trPr>
          <w:trHeight w:val="143"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Dátum vzniku: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Zápis do obchodného registra: 19.04.2012</w:t>
            </w:r>
          </w:p>
        </w:tc>
      </w:tr>
      <w:tr>
        <w:tblPrEx>
          <w:tblCellMar>
            <w:top w:w="0" w:type="dxa"/>
            <w:left w:w="108" w:type="dxa"/>
            <w:bottom w:w="0" w:type="dxa"/>
            <w:right w:w="108" w:type="dxa"/>
          </w:tblCellMar>
        </w:tblPrEx>
        <w:trPr>
          <w:trHeight w:val="175"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Hlavný predmet podnikania:</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Poradenstvo a evidencia v odpadovom hospodárstve</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Subjekt verejného záujmu:</w:t>
            </w:r>
          </w:p>
        </w:tc>
        <w:tc>
          <w:tcPr>
            <w:tcW w:w="3628" w:type="pct"/>
            <w:tcBorders>
              <w:top w:val="single" w:color="auto" w:sz="4" w:space="0"/>
              <w:left w:val="nil"/>
              <w:bottom w:val="single" w:color="auto" w:sz="4"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Spoločnosť nie je subjektom verejného záujmu (§ 2/14 ZoU).</w:t>
            </w:r>
          </w:p>
        </w:tc>
      </w:tr>
      <w:tr>
        <w:tblPrEx>
          <w:tblCellMar>
            <w:top w:w="0" w:type="dxa"/>
            <w:left w:w="108" w:type="dxa"/>
            <w:bottom w:w="0" w:type="dxa"/>
            <w:right w:w="108" w:type="dxa"/>
          </w:tblCellMar>
        </w:tblPrEx>
        <w:trPr>
          <w:trHeight w:val="194" w:hRule="atLeast"/>
        </w:trPr>
        <w:tc>
          <w:tcPr>
            <w:tcW w:w="1372" w:type="pct"/>
            <w:tcBorders>
              <w:top w:val="single" w:color="auto" w:sz="4" w:space="0"/>
              <w:left w:val="single" w:color="auto" w:sz="8" w:space="0"/>
              <w:bottom w:val="single" w:color="auto" w:sz="8" w:space="0"/>
              <w:right w:val="single" w:color="auto" w:sz="8" w:space="0"/>
            </w:tcBorders>
            <w:vAlign w:val="bottom"/>
          </w:tcPr>
          <w:p>
            <w:pPr>
              <w:jc w:val="both"/>
              <w:rPr>
                <w:rFonts w:ascii="Arial Narrow" w:hAnsi="Arial Narrow" w:cs="Arial Narrow"/>
                <w:sz w:val="22"/>
                <w:szCs w:val="22"/>
              </w:rPr>
            </w:pPr>
            <w:r>
              <w:rPr>
                <w:rFonts w:ascii="Arial Narrow" w:hAnsi="Arial Narrow" w:cs="Arial Narrow"/>
                <w:sz w:val="22"/>
                <w:szCs w:val="22"/>
              </w:rPr>
              <w:t>Účtovné obdobie:</w:t>
            </w:r>
          </w:p>
        </w:tc>
        <w:tc>
          <w:tcPr>
            <w:tcW w:w="3628" w:type="pct"/>
            <w:tcBorders>
              <w:top w:val="single" w:color="auto" w:sz="4" w:space="0"/>
              <w:left w:val="nil"/>
              <w:bottom w:val="single" w:color="auto" w:sz="8" w:space="0"/>
              <w:right w:val="single" w:color="auto" w:sz="8" w:space="0"/>
            </w:tcBorders>
            <w:vAlign w:val="bottom"/>
          </w:tcPr>
          <w:p>
            <w:pPr>
              <w:jc w:val="both"/>
              <w:rPr>
                <w:rFonts w:hint="default" w:ascii="Arial Narrow" w:hAnsi="Arial Narrow" w:cs="Arial Narrow"/>
                <w:sz w:val="22"/>
                <w:szCs w:val="22"/>
                <w:lang w:val="sk-SK"/>
              </w:rPr>
            </w:pPr>
            <w:r>
              <w:rPr>
                <w:rFonts w:ascii="Arial Narrow" w:hAnsi="Arial Narrow" w:cs="Arial Narrow"/>
                <w:sz w:val="22"/>
                <w:szCs w:val="22"/>
              </w:rPr>
              <w:t>Kalendárny rok 20</w:t>
            </w:r>
            <w:r>
              <w:rPr>
                <w:rFonts w:hint="default" w:ascii="Arial Narrow" w:hAnsi="Arial Narrow" w:cs="Arial Narrow"/>
                <w:sz w:val="22"/>
                <w:szCs w:val="22"/>
                <w:lang w:val="sk-SK"/>
              </w:rPr>
              <w:t>22</w:t>
            </w:r>
            <w:bookmarkStart w:id="0" w:name="_GoBack"/>
            <w:bookmarkEnd w:id="0"/>
          </w:p>
        </w:tc>
      </w:tr>
    </w:tbl>
    <w:p>
      <w:pPr>
        <w:jc w:val="both"/>
        <w:rPr>
          <w:rFonts w:ascii="Arial Narrow" w:hAnsi="Arial Narrow" w:cs="Arial Narrow"/>
          <w:b/>
          <w:bCs/>
          <w:sz w:val="22"/>
          <w:szCs w:val="22"/>
        </w:rPr>
      </w:pPr>
    </w:p>
    <w:p>
      <w:pPr>
        <w:ind w:right="-425"/>
        <w:jc w:val="both"/>
        <w:rPr>
          <w:rFonts w:ascii="Arial Narrow" w:hAnsi="Arial Narrow" w:cs="Arial Narrow"/>
          <w:bCs/>
          <w:sz w:val="22"/>
          <w:szCs w:val="22"/>
          <w:u w:val="single"/>
        </w:rPr>
      </w:pPr>
      <w:r>
        <w:rPr>
          <w:rFonts w:ascii="Arial Narrow" w:hAnsi="Arial Narrow" w:cs="Arial Narrow"/>
          <w:bCs/>
          <w:sz w:val="22"/>
          <w:szCs w:val="22"/>
          <w:u w:val="single"/>
        </w:rPr>
        <w:t>Test veľkostnej skupiny účtovnej jednotky (2 ZoU)</w:t>
      </w:r>
    </w:p>
    <w:p>
      <w:pPr>
        <w:jc w:val="both"/>
        <w:rPr>
          <w:rFonts w:ascii="Arial Narrow" w:hAnsi="Arial Narrow" w:cs="Arial Narrow"/>
          <w:bCs/>
          <w:sz w:val="22"/>
          <w:szCs w:val="22"/>
        </w:rPr>
      </w:pPr>
      <w:r>
        <w:rPr>
          <w:rFonts w:ascii="Arial Narrow" w:hAnsi="Arial Narrow" w:cs="Arial Narrow"/>
          <w:bCs/>
          <w:sz w:val="22"/>
          <w:szCs w:val="22"/>
        </w:rPr>
        <w:t xml:space="preserve">(Do veľkostnej skupiny mala účtovná jednotka patrí taká, ktorá za dve po sebe idúce účtovné obdobia spĺňa aspoň dve z troch podmienok – suma netto aktív presiahla 350 000 eura, ale nepresiahla 4 000 000 eur, čistý obrat presiahol 700 000 eur, ale nepresiahol 8 000 000 eur a priemerný prepočítaný počet zamestnancov počas účtovného obdobia presiahol 10, ale nepresiahol 50).  </w:t>
      </w:r>
    </w:p>
    <w:p>
      <w:pPr>
        <w:jc w:val="both"/>
        <w:rPr>
          <w:rFonts w:ascii="Arial Narrow" w:hAnsi="Arial Narrow" w:cs="Arial Narrow"/>
          <w:b/>
          <w:bCs/>
          <w:sz w:val="22"/>
          <w:szCs w:val="22"/>
        </w:rPr>
      </w:pPr>
    </w:p>
    <w:tbl>
      <w:tblPr>
        <w:tblStyle w:val="5"/>
        <w:tblW w:w="9568" w:type="dxa"/>
        <w:tblInd w:w="3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2197"/>
        <w:gridCol w:w="2835"/>
        <w:gridCol w:w="3260"/>
        <w:gridCol w:w="12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2835"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3260"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c>
          <w:tcPr>
            <w:tcW w:w="1276" w:type="dxa"/>
            <w:shd w:val="clear" w:color="auto" w:fill="auto"/>
          </w:tcPr>
          <w:p>
            <w:pPr>
              <w:jc w:val="center"/>
              <w:rPr>
                <w:rFonts w:ascii="Arial Narrow" w:hAnsi="Arial Narrow" w:cs="Arial Narrow"/>
                <w:b/>
                <w:bCs/>
                <w:sz w:val="22"/>
                <w:szCs w:val="22"/>
              </w:rPr>
            </w:pPr>
            <w:r>
              <w:rPr>
                <w:rFonts w:ascii="Arial Narrow" w:hAnsi="Arial Narrow" w:cs="Arial Narrow"/>
                <w:b/>
                <w:bCs/>
                <w:sz w:val="22"/>
                <w:szCs w:val="22"/>
              </w:rPr>
              <w:t>Áno/Nie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Netto aktíva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18 508</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16 648</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Čistý obrat celkom</w:t>
            </w:r>
          </w:p>
        </w:tc>
        <w:tc>
          <w:tcPr>
            <w:tcW w:w="2835"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22 210</w:t>
            </w:r>
          </w:p>
        </w:tc>
        <w:tc>
          <w:tcPr>
            <w:tcW w:w="3260" w:type="dxa"/>
            <w:shd w:val="clear" w:color="auto" w:fill="auto"/>
          </w:tcPr>
          <w:p>
            <w:pPr>
              <w:jc w:val="both"/>
              <w:rPr>
                <w:rFonts w:hint="default" w:ascii="Arial Narrow" w:hAnsi="Arial Narrow" w:cs="Arial Narrow"/>
                <w:b/>
                <w:bCs/>
                <w:sz w:val="22"/>
                <w:szCs w:val="22"/>
                <w:lang w:val="sk-SK"/>
              </w:rPr>
            </w:pPr>
            <w:r>
              <w:rPr>
                <w:rFonts w:hint="default" w:ascii="Arial Narrow" w:hAnsi="Arial Narrow" w:cs="Arial Narrow"/>
                <w:b/>
                <w:bCs/>
                <w:sz w:val="22"/>
                <w:szCs w:val="22"/>
                <w:lang w:val="sk-SK"/>
              </w:rPr>
              <w:t>20 930</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2197" w:type="dxa"/>
            <w:shd w:val="clear" w:color="auto" w:fill="auto"/>
          </w:tcPr>
          <w:p>
            <w:pPr>
              <w:jc w:val="both"/>
              <w:rPr>
                <w:rFonts w:ascii="Arial Narrow" w:hAnsi="Arial Narrow" w:cs="Arial Narrow"/>
                <w:bCs/>
                <w:sz w:val="22"/>
                <w:szCs w:val="22"/>
              </w:rPr>
            </w:pPr>
            <w:r>
              <w:rPr>
                <w:rFonts w:ascii="Arial Narrow" w:hAnsi="Arial Narrow" w:cs="Arial Narrow"/>
                <w:bCs/>
                <w:sz w:val="22"/>
                <w:szCs w:val="22"/>
              </w:rPr>
              <w:t>Počet zamestnancov</w:t>
            </w:r>
          </w:p>
        </w:tc>
        <w:tc>
          <w:tcPr>
            <w:tcW w:w="2835"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1</w:t>
            </w:r>
          </w:p>
        </w:tc>
        <w:tc>
          <w:tcPr>
            <w:tcW w:w="3260"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1</w:t>
            </w:r>
          </w:p>
        </w:tc>
        <w:tc>
          <w:tcPr>
            <w:tcW w:w="1276" w:type="dxa"/>
            <w:shd w:val="clear" w:color="auto" w:fill="auto"/>
          </w:tcPr>
          <w:p>
            <w:pPr>
              <w:jc w:val="both"/>
              <w:rPr>
                <w:rFonts w:ascii="Arial Narrow" w:hAnsi="Arial Narrow" w:cs="Arial Narrow"/>
                <w:b/>
                <w:bCs/>
                <w:sz w:val="22"/>
                <w:szCs w:val="22"/>
              </w:rPr>
            </w:pPr>
            <w:r>
              <w:rPr>
                <w:rFonts w:ascii="Arial Narrow" w:hAnsi="Arial Narrow" w:cs="Arial Narrow"/>
                <w:b/>
                <w:bCs/>
                <w:sz w:val="22"/>
                <w:szCs w:val="22"/>
              </w:rPr>
              <w:t>nie</w:t>
            </w:r>
          </w:p>
        </w:tc>
      </w:tr>
    </w:tbl>
    <w:p>
      <w:pPr>
        <w:jc w:val="both"/>
        <w:rPr>
          <w:rFonts w:ascii="Arial Narrow" w:hAnsi="Arial Narrow" w:cs="Arial Narrow"/>
          <w:b/>
          <w:bCs/>
          <w:sz w:val="22"/>
          <w:szCs w:val="22"/>
        </w:rPr>
      </w:pPr>
    </w:p>
    <w:p>
      <w:pPr>
        <w:jc w:val="both"/>
        <w:rPr>
          <w:rFonts w:ascii="Arial Narrow" w:hAnsi="Arial Narrow" w:cs="Arial Narrow"/>
          <w:sz w:val="22"/>
          <w:szCs w:val="22"/>
        </w:rPr>
      </w:pPr>
      <w:r>
        <w:rPr>
          <w:rFonts w:ascii="Arial Narrow" w:hAnsi="Arial Narrow" w:cs="Arial Narrow"/>
          <w:sz w:val="22"/>
          <w:szCs w:val="22"/>
          <w:u w:val="single"/>
        </w:rPr>
        <w:t>Komentár:</w:t>
      </w:r>
      <w:r>
        <w:rPr>
          <w:rFonts w:ascii="Arial Narrow" w:hAnsi="Arial Narrow" w:cs="Arial Narrow"/>
          <w:sz w:val="22"/>
          <w:szCs w:val="22"/>
        </w:rPr>
        <w:t xml:space="preserve"> UJ spĺňa veľkostné podmienky na zatriedenie do veľkostnej skupiny – </w:t>
      </w:r>
      <w:r>
        <w:rPr>
          <w:rFonts w:ascii="Arial Narrow" w:hAnsi="Arial Narrow" w:cs="Arial Narrow"/>
          <w:b/>
          <w:sz w:val="22"/>
          <w:szCs w:val="22"/>
        </w:rPr>
        <w:t xml:space="preserve">malá účtovná jednotka, </w:t>
      </w:r>
      <w:r>
        <w:rPr>
          <w:rFonts w:ascii="Arial Narrow" w:hAnsi="Arial Narrow" w:cs="Arial Narrow"/>
          <w:sz w:val="22"/>
          <w:szCs w:val="22"/>
        </w:rPr>
        <w:t>preto zostavuje účtovnú závierku podľa metodiky pre túto veľkostnú skupinu (</w:t>
      </w:r>
      <w:r>
        <w:rPr>
          <w:rFonts w:ascii="Arial Narrow" w:hAnsi="Arial Narrow"/>
          <w:sz w:val="22"/>
          <w:szCs w:val="22"/>
        </w:rPr>
        <w:t>Opatrenie č.MF/23378/2014-74)</w:t>
      </w:r>
      <w:r>
        <w:rPr>
          <w:rFonts w:ascii="Arial Narrow" w:hAnsi="Arial Narrow" w:cs="Arial Narrow"/>
          <w:sz w:val="22"/>
          <w:szCs w:val="22"/>
        </w:rPr>
        <w:t>.</w:t>
      </w:r>
    </w:p>
    <w:p>
      <w:pPr>
        <w:rPr>
          <w:rFonts w:ascii="Arial Narrow" w:hAnsi="Arial Narrow" w:cs="Arial Narrow"/>
          <w:b/>
          <w:bCs/>
          <w:sz w:val="22"/>
          <w:szCs w:val="22"/>
        </w:rPr>
      </w:pPr>
    </w:p>
    <w:p>
      <w:pPr>
        <w:jc w:val="both"/>
        <w:rPr>
          <w:rFonts w:hint="default" w:ascii="Arial Narrow" w:hAnsi="Arial Narrow" w:cs="Arial Narrow"/>
          <w:sz w:val="22"/>
          <w:szCs w:val="22"/>
          <w:lang w:val="sk-SK"/>
        </w:rPr>
      </w:pPr>
      <w:r>
        <w:rPr>
          <w:rFonts w:ascii="Arial Narrow" w:hAnsi="Arial Narrow" w:cs="Arial Narrow"/>
          <w:sz w:val="22"/>
          <w:szCs w:val="22"/>
        </w:rPr>
        <w:t>2) Účtovná závierka Spoločnosti k 31.12.20</w:t>
      </w:r>
      <w:r>
        <w:rPr>
          <w:rFonts w:hint="default" w:ascii="Arial Narrow" w:hAnsi="Arial Narrow" w:cs="Arial Narrow"/>
          <w:sz w:val="22"/>
          <w:szCs w:val="22"/>
          <w:lang w:val="sk-SK"/>
        </w:rPr>
        <w:t>21</w:t>
      </w:r>
      <w:r>
        <w:rPr>
          <w:rFonts w:ascii="Arial Narrow" w:hAnsi="Arial Narrow" w:cs="Arial Narrow"/>
          <w:sz w:val="22"/>
          <w:szCs w:val="22"/>
        </w:rPr>
        <w:t xml:space="preserve"> za predchádzajúce účtovné obdobie bola schválená valným zhromaždením dňa 0</w:t>
      </w:r>
      <w:r>
        <w:rPr>
          <w:rFonts w:hint="default" w:ascii="Arial Narrow" w:hAnsi="Arial Narrow" w:cs="Arial Narrow"/>
          <w:sz w:val="22"/>
          <w:szCs w:val="22"/>
          <w:lang w:val="sk-SK"/>
        </w:rPr>
        <w:t>6</w:t>
      </w:r>
      <w:r>
        <w:rPr>
          <w:rFonts w:ascii="Arial Narrow" w:hAnsi="Arial Narrow" w:cs="Arial Narrow"/>
          <w:sz w:val="22"/>
          <w:szCs w:val="22"/>
        </w:rPr>
        <w:t>.03.20</w:t>
      </w:r>
      <w:r>
        <w:rPr>
          <w:rFonts w:hint="default" w:ascii="Arial Narrow" w:hAnsi="Arial Narrow" w:cs="Arial Narrow"/>
          <w:sz w:val="22"/>
          <w:szCs w:val="22"/>
          <w:lang w:val="sk-SK"/>
        </w:rPr>
        <w:t>21</w:t>
      </w:r>
    </w:p>
    <w:p>
      <w:pPr>
        <w:spacing w:after="120"/>
        <w:jc w:val="both"/>
        <w:rPr>
          <w:rFonts w:ascii="Arial Narrow" w:hAnsi="Arial Narrow" w:cs="Arial Narrow"/>
          <w:sz w:val="22"/>
          <w:szCs w:val="22"/>
        </w:rPr>
      </w:pPr>
      <w:r>
        <w:rPr>
          <w:rFonts w:ascii="Arial Narrow" w:hAnsi="Arial Narrow" w:cs="Arial Narrow"/>
          <w:sz w:val="22"/>
          <w:szCs w:val="22"/>
        </w:rPr>
        <w:t xml:space="preserve"> </w:t>
      </w:r>
    </w:p>
    <w:p>
      <w:pPr>
        <w:ind w:right="-468"/>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rPr>
        <w:t>Právny dôvod</w:t>
      </w:r>
      <w:r>
        <w:rPr>
          <w:rFonts w:ascii="Arial Narrow" w:hAnsi="Arial Narrow" w:cs="Arial Narrow"/>
          <w:sz w:val="22"/>
          <w:szCs w:val="22"/>
        </w:rPr>
        <w:t xml:space="preserve"> na zostavenie účtovnej závierky:riadna</w:t>
      </w:r>
    </w:p>
    <w:p>
      <w:pPr>
        <w:spacing w:after="120"/>
        <w:jc w:val="both"/>
        <w:rPr>
          <w:rFonts w:ascii="Arial Narrow" w:hAnsi="Arial Narrow" w:cs="Arial Narrow"/>
          <w:sz w:val="22"/>
          <w:szCs w:val="22"/>
        </w:rPr>
      </w:pPr>
    </w:p>
    <w:p>
      <w:pPr>
        <w:jc w:val="both"/>
        <w:rPr>
          <w:rFonts w:ascii="Arial Narrow" w:hAnsi="Arial Narrow" w:cs="Arial Narrow"/>
          <w:bCs/>
          <w:sz w:val="22"/>
          <w:szCs w:val="22"/>
        </w:rPr>
      </w:pPr>
      <w:r>
        <w:rPr>
          <w:rFonts w:ascii="Arial Narrow" w:hAnsi="Arial Narrow" w:cs="Arial Narrow"/>
          <w:bCs/>
          <w:sz w:val="22"/>
          <w:szCs w:val="22"/>
        </w:rPr>
        <w:t xml:space="preserve">4) </w:t>
      </w:r>
      <w:r>
        <w:rPr>
          <w:rFonts w:ascii="Arial Narrow" w:hAnsi="Arial Narrow" w:cs="Arial Narrow"/>
          <w:bCs/>
          <w:sz w:val="22"/>
          <w:szCs w:val="22"/>
          <w:u w:val="single"/>
        </w:rPr>
        <w:t>Údaje o skupine</w:t>
      </w:r>
      <w:r>
        <w:rPr>
          <w:rFonts w:ascii="Arial Narrow" w:hAnsi="Arial Narrow" w:cs="Arial Narrow"/>
          <w:bCs/>
          <w:sz w:val="22"/>
          <w:szCs w:val="22"/>
        </w:rPr>
        <w:t xml:space="preserve"> účtovných jednotiek v súvislosti </w:t>
      </w:r>
      <w:r>
        <w:rPr>
          <w:rFonts w:ascii="Arial Narrow" w:hAnsi="Arial Narrow" w:cs="Arial Narrow"/>
          <w:b/>
          <w:bCs/>
          <w:sz w:val="22"/>
          <w:szCs w:val="22"/>
        </w:rPr>
        <w:t>s konsolidáciou</w:t>
      </w:r>
      <w:r>
        <w:rPr>
          <w:rFonts w:ascii="Arial Narrow" w:hAnsi="Arial Narrow" w:cs="Arial Narrow"/>
          <w:bCs/>
          <w:sz w:val="22"/>
          <w:szCs w:val="22"/>
        </w:rPr>
        <w:t>: spoločnosť nie je súčasťou konsolidovaného celku</w:t>
      </w:r>
    </w:p>
    <w:p>
      <w:pPr>
        <w:ind w:left="36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d) Účtovná jednotka  nie je materskou účtovnou jednotkou. </w:t>
      </w: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5) </w:t>
      </w:r>
      <w:r>
        <w:rPr>
          <w:rFonts w:ascii="Arial Narrow" w:hAnsi="Arial Narrow" w:cs="Arial Narrow"/>
          <w:sz w:val="22"/>
          <w:szCs w:val="22"/>
          <w:u w:val="single"/>
        </w:rPr>
        <w:t>Priemerný prepočítaný počet zamestnancov účtovnej jednotky</w:t>
      </w:r>
      <w:r>
        <w:rPr>
          <w:rFonts w:ascii="Arial Narrow" w:hAnsi="Arial Narrow" w:cs="Arial Narrow"/>
          <w:sz w:val="22"/>
          <w:szCs w:val="22"/>
        </w:rPr>
        <w:t>:</w:t>
      </w:r>
    </w:p>
    <w:tbl>
      <w:tblPr>
        <w:tblStyle w:val="5"/>
        <w:tblW w:w="5017"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858"/>
        <w:gridCol w:w="2523"/>
        <w:gridCol w:w="236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37" w:hRule="atLeast"/>
        </w:trPr>
        <w:tc>
          <w:tcPr>
            <w:tcW w:w="2492" w:type="pct"/>
            <w:vAlign w:val="center"/>
          </w:tcPr>
          <w:p>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94" w:type="pct"/>
            <w:vAlign w:val="center"/>
          </w:tcPr>
          <w:p>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214" w:type="pct"/>
            <w:vAlign w:val="center"/>
          </w:tcPr>
          <w:p>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3" w:hRule="atLeast"/>
        </w:trPr>
        <w:tc>
          <w:tcPr>
            <w:tcW w:w="2492" w:type="pct"/>
            <w:vAlign w:val="bottom"/>
          </w:tcPr>
          <w:p>
            <w:pPr>
              <w:jc w:val="both"/>
              <w:rPr>
                <w:rFonts w:ascii="Arial Narrow" w:hAnsi="Arial Narrow" w:cs="Arial Narrow"/>
                <w:sz w:val="22"/>
                <w:szCs w:val="22"/>
              </w:rPr>
            </w:pPr>
            <w:r>
              <w:rPr>
                <w:rFonts w:ascii="Arial Narrow" w:hAnsi="Arial Narrow" w:cs="Arial Narrow"/>
                <w:sz w:val="22"/>
                <w:szCs w:val="22"/>
              </w:rPr>
              <w:t>Priemerný prepočítaný počet počas účtovného obdobia</w:t>
            </w:r>
          </w:p>
        </w:tc>
        <w:tc>
          <w:tcPr>
            <w:tcW w:w="1294" w:type="pct"/>
            <w:vAlign w:val="bottom"/>
          </w:tcPr>
          <w:p>
            <w:pPr>
              <w:jc w:val="both"/>
              <w:rPr>
                <w:rFonts w:ascii="Arial Narrow" w:hAnsi="Arial Narrow" w:cs="Arial Narrow"/>
                <w:sz w:val="22"/>
                <w:szCs w:val="22"/>
              </w:rPr>
            </w:pPr>
            <w:r>
              <w:rPr>
                <w:rFonts w:ascii="Arial Narrow" w:hAnsi="Arial Narrow" w:cs="Arial Narrow"/>
                <w:sz w:val="22"/>
                <w:szCs w:val="22"/>
              </w:rPr>
              <w:t> 1</w:t>
            </w:r>
          </w:p>
        </w:tc>
        <w:tc>
          <w:tcPr>
            <w:tcW w:w="1214" w:type="pct"/>
            <w:vAlign w:val="bottom"/>
          </w:tcPr>
          <w:p>
            <w:pPr>
              <w:jc w:val="both"/>
              <w:rPr>
                <w:rFonts w:ascii="Arial Narrow" w:hAnsi="Arial Narrow" w:cs="Arial Narrow"/>
                <w:sz w:val="22"/>
                <w:szCs w:val="22"/>
              </w:rPr>
            </w:pPr>
            <w:r>
              <w:rPr>
                <w:rFonts w:ascii="Arial Narrow" w:hAnsi="Arial Narrow" w:cs="Arial Narrow"/>
                <w:sz w:val="22"/>
                <w:szCs w:val="22"/>
              </w:rPr>
              <w:t>1</w:t>
            </w:r>
          </w:p>
        </w:tc>
      </w:tr>
    </w:tbl>
    <w:p>
      <w:pPr>
        <w:ind w:left="928" w:right="-468"/>
        <w:jc w:val="both"/>
        <w:rPr>
          <w:rFonts w:ascii="Arial Narrow" w:hAnsi="Arial Narrow" w:cs="Arial Narrow"/>
          <w:sz w:val="22"/>
          <w:szCs w:val="22"/>
        </w:rPr>
      </w:pPr>
    </w:p>
    <w:p>
      <w:pPr>
        <w:ind w:left="928" w:right="-468"/>
        <w:jc w:val="both"/>
        <w:rPr>
          <w:rFonts w:ascii="Arial Narrow" w:hAnsi="Arial Narrow" w:cs="Arial Narrow"/>
          <w:sz w:val="22"/>
          <w:szCs w:val="22"/>
        </w:rPr>
      </w:pPr>
    </w:p>
    <w:p>
      <w:pPr>
        <w:ind w:left="928" w:right="-468"/>
        <w:jc w:val="both"/>
        <w:rPr>
          <w:rFonts w:ascii="Arial Narrow" w:hAnsi="Arial Narrow" w:cs="Arial Narrow"/>
          <w:sz w:val="22"/>
          <w:szCs w:val="22"/>
        </w:rPr>
      </w:pPr>
    </w:p>
    <w:p>
      <w:pPr>
        <w:ind w:right="-468"/>
        <w:jc w:val="both"/>
        <w:rPr>
          <w:rFonts w:ascii="Arial Narrow" w:hAnsi="Arial Narrow" w:cs="Arial Narrow"/>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II – INFORMÁCIE O ORGÁNOCH SPOLOČNOSTI</w:t>
      </w:r>
    </w:p>
    <w:p>
      <w:pPr>
        <w:ind w:right="-468"/>
        <w:jc w:val="both"/>
        <w:rPr>
          <w:rFonts w:ascii="Arial Narrow" w:hAnsi="Arial Narrow" w:cs="Arial Narrow"/>
          <w:bCs/>
          <w:sz w:val="22"/>
          <w:szCs w:val="22"/>
        </w:rPr>
      </w:pPr>
    </w:p>
    <w:p>
      <w:pPr>
        <w:spacing w:after="120"/>
        <w:jc w:val="both"/>
        <w:rPr>
          <w:rFonts w:ascii="Arial Narrow" w:hAnsi="Arial Narrow" w:cs="Arial Narrow"/>
          <w:b/>
          <w:bCs/>
          <w:sz w:val="22"/>
          <w:szCs w:val="22"/>
          <w:u w:val="single"/>
        </w:rPr>
      </w:pPr>
      <w:r>
        <w:rPr>
          <w:rFonts w:ascii="Arial Narrow" w:hAnsi="Arial Narrow" w:cs="Arial Narrow"/>
          <w:b/>
          <w:bCs/>
          <w:sz w:val="22"/>
          <w:szCs w:val="22"/>
          <w:u w:val="single"/>
        </w:rPr>
        <w:t>Informácie o orgánoch účtovnej jednotky:</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informácie o podmienkach a výške jednotlivých druhov záruk: </w:t>
      </w:r>
      <w:r>
        <w:rPr>
          <w:rFonts w:ascii="Arial Narrow" w:hAnsi="Arial Narrow" w:cs="Arial Narrow"/>
          <w:bCs/>
          <w:sz w:val="22"/>
          <w:szCs w:val="22"/>
        </w:rPr>
        <w:tab/>
      </w:r>
      <w:r>
        <w:rPr>
          <w:rFonts w:ascii="Arial Narrow" w:hAnsi="Arial Narrow" w:cs="Arial Narrow"/>
          <w:bCs/>
          <w:sz w:val="22"/>
          <w:szCs w:val="22"/>
        </w:rPr>
        <w:t>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informácie o podmienkach a výške iných zabezpečení: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pôžičkách a ich podmienkach: žiadne</w:t>
      </w:r>
    </w:p>
    <w:p>
      <w:pPr>
        <w:numPr>
          <w:ilvl w:val="0"/>
          <w:numId w:val="2"/>
        </w:numPr>
        <w:spacing w:after="120"/>
        <w:jc w:val="both"/>
        <w:rPr>
          <w:rFonts w:ascii="Arial Narrow" w:hAnsi="Arial Narrow" w:cs="Arial Narrow"/>
          <w:b/>
          <w:bCs/>
          <w:sz w:val="22"/>
          <w:szCs w:val="22"/>
          <w:u w:val="single"/>
        </w:rPr>
      </w:pPr>
      <w:r>
        <w:rPr>
          <w:rFonts w:ascii="Arial Narrow" w:hAnsi="Arial Narrow" w:cs="Arial Narrow"/>
          <w:bCs/>
          <w:sz w:val="22"/>
          <w:szCs w:val="22"/>
        </w:rPr>
        <w:t xml:space="preserve"> Informácie o použití majetku účtovnej jednotky na súkromné účely: žiadne</w:t>
      </w:r>
    </w:p>
    <w:p>
      <w:pPr>
        <w:ind w:right="-468"/>
        <w:jc w:val="both"/>
        <w:rPr>
          <w:rFonts w:ascii="Arial Narrow" w:hAnsi="Arial Narrow" w:cs="Arial Narrow"/>
          <w:bCs/>
          <w:sz w:val="22"/>
          <w:szCs w:val="22"/>
        </w:rPr>
      </w:pPr>
    </w:p>
    <w:p>
      <w:pPr>
        <w:ind w:right="-468"/>
        <w:jc w:val="both"/>
        <w:rPr>
          <w:rFonts w:ascii="Arial Narrow" w:hAnsi="Arial Narrow" w:cs="Arial Narrow"/>
          <w:sz w:val="22"/>
          <w:szCs w:val="22"/>
        </w:rPr>
      </w:pPr>
    </w:p>
    <w:p>
      <w:pPr>
        <w:ind w:right="-141"/>
        <w:jc w:val="center"/>
        <w:rPr>
          <w:rFonts w:ascii="Arial Narrow" w:hAnsi="Arial Narrow" w:cs="Arial Narrow"/>
          <w:b/>
          <w:bCs/>
          <w:sz w:val="22"/>
          <w:szCs w:val="22"/>
          <w:u w:val="single"/>
        </w:rPr>
      </w:pPr>
      <w:r>
        <w:rPr>
          <w:rFonts w:ascii="Arial Narrow" w:hAnsi="Arial Narrow" w:cs="Arial Narrow"/>
          <w:b/>
          <w:bCs/>
          <w:sz w:val="22"/>
          <w:szCs w:val="22"/>
          <w:u w:val="single"/>
        </w:rPr>
        <w:t>Článok III – INFORMÁCIE O PRIJATÝCH POSTUPOCH</w:t>
      </w:r>
    </w:p>
    <w:p>
      <w:pPr>
        <w:ind w:right="-141"/>
        <w:jc w:val="both"/>
        <w:rPr>
          <w:rFonts w:ascii="Arial Narrow" w:hAnsi="Arial Narrow" w:cs="Arial Narrow"/>
          <w:b/>
          <w:bCs/>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1) Spoločnosť zostavila účtovnú závierku za splnenia predpokladu, že účtovná jednotka bude </w:t>
      </w:r>
      <w:r>
        <w:rPr>
          <w:rFonts w:ascii="Arial Narrow" w:hAnsi="Arial Narrow" w:cs="Arial Narrow"/>
          <w:b/>
          <w:sz w:val="22"/>
          <w:szCs w:val="22"/>
        </w:rPr>
        <w:t>nepretržite pokračovať</w:t>
      </w:r>
      <w:r>
        <w:rPr>
          <w:rFonts w:ascii="Arial Narrow" w:hAnsi="Arial Narrow" w:cs="Arial Narrow"/>
          <w:sz w:val="22"/>
          <w:szCs w:val="22"/>
        </w:rPr>
        <w:t xml:space="preserve"> vo svojej činnosti minimálne 12 mesiacov po závierkovom dni v zmysle § 7 ods. 4 zákona o účtovníctve. </w:t>
      </w:r>
    </w:p>
    <w:p>
      <w:p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2) Spoločnosť aplikovala účtovné zásady a účtovné metódy, ktoré sú dôležité na posúdenie majetku, záväzkov, finančnej situácie a výsledku hospodárenia konzistentne. </w:t>
      </w:r>
    </w:p>
    <w:p>
      <w:pPr>
        <w:numPr>
          <w:ilvl w:val="0"/>
          <w:numId w:val="2"/>
        </w:numPr>
        <w:ind w:right="-141"/>
        <w:jc w:val="both"/>
        <w:rPr>
          <w:rFonts w:ascii="Arial Narrow" w:hAnsi="Arial Narrow" w:cs="Arial Narrow"/>
          <w:sz w:val="22"/>
          <w:szCs w:val="22"/>
        </w:rPr>
      </w:pPr>
    </w:p>
    <w:p>
      <w:pPr>
        <w:ind w:right="-141"/>
        <w:jc w:val="both"/>
        <w:rPr>
          <w:rFonts w:ascii="Arial Narrow" w:hAnsi="Arial Narrow" w:cs="Arial Narrow"/>
          <w:sz w:val="22"/>
          <w:szCs w:val="22"/>
        </w:rPr>
      </w:pPr>
      <w:r>
        <w:rPr>
          <w:rFonts w:ascii="Arial Narrow" w:hAnsi="Arial Narrow" w:cs="Arial Narrow"/>
          <w:sz w:val="22"/>
          <w:szCs w:val="22"/>
        </w:rPr>
        <w:t xml:space="preserve">3) Spoločnosť si nie je vedomá žiadnych </w:t>
      </w:r>
      <w:r>
        <w:rPr>
          <w:rFonts w:ascii="Arial Narrow" w:hAnsi="Arial Narrow" w:cs="Arial Narrow"/>
          <w:b/>
          <w:sz w:val="22"/>
          <w:szCs w:val="22"/>
        </w:rPr>
        <w:t>transakcií, ktoré by neboli neuvedené v súvahe</w:t>
      </w:r>
      <w:r>
        <w:rPr>
          <w:rFonts w:ascii="Arial Narrow" w:hAnsi="Arial Narrow" w:cs="Arial Narrow"/>
          <w:sz w:val="22"/>
          <w:szCs w:val="22"/>
        </w:rPr>
        <w:t xml:space="preserve">, a ktoré by pre spoločnosť predstavovali významné budúce </w:t>
      </w:r>
      <w:r>
        <w:rPr>
          <w:rFonts w:ascii="Arial Narrow" w:hAnsi="Arial Narrow" w:cs="Arial Narrow"/>
          <w:sz w:val="22"/>
          <w:szCs w:val="22"/>
          <w:u w:val="single"/>
        </w:rPr>
        <w:t>riziko alebo prínosy.</w:t>
      </w:r>
      <w:r>
        <w:rPr>
          <w:rFonts w:ascii="Arial Narrow" w:hAnsi="Arial Narrow" w:cs="Arial Narrow"/>
          <w:sz w:val="22"/>
          <w:szCs w:val="22"/>
        </w:rPr>
        <w:t xml:space="preserve"> (napr. súdne spory, zmluvy, časovo limitované licencie a oprávnenia, podnikové kombinácie, záväzky investovať, dopad legislatívy, celkový pokles v hospodárskom segmente):    </w:t>
      </w:r>
    </w:p>
    <w:p>
      <w:pPr>
        <w:ind w:right="-141"/>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4) </w:t>
      </w:r>
      <w:r>
        <w:rPr>
          <w:rFonts w:ascii="Arial Narrow" w:hAnsi="Arial Narrow" w:cs="Arial Narrow"/>
          <w:b/>
          <w:sz w:val="22"/>
          <w:szCs w:val="22"/>
        </w:rPr>
        <w:t>Spôsob a určenie oceňovania</w:t>
      </w:r>
      <w:r>
        <w:rPr>
          <w:rFonts w:ascii="Arial Narrow" w:hAnsi="Arial Narrow" w:cs="Arial Narrow"/>
          <w:sz w:val="22"/>
          <w:szCs w:val="22"/>
        </w:rPr>
        <w:t xml:space="preserve"> majetku a záväzkov (vrátane rozhodujúcich odhadov):</w:t>
      </w:r>
    </w:p>
    <w:p>
      <w:pPr>
        <w:ind w:right="-141"/>
        <w:jc w:val="both"/>
        <w:rPr>
          <w:rFonts w:ascii="Arial Narrow" w:hAnsi="Arial Narrow" w:cs="Arial Narrow"/>
          <w:sz w:val="22"/>
          <w:szCs w:val="22"/>
        </w:rPr>
      </w:pPr>
      <w:r>
        <w:rPr>
          <w:rFonts w:ascii="Arial Narrow" w:hAnsi="Arial Narrow" w:cs="Arial Narrow"/>
          <w:sz w:val="22"/>
          <w:szCs w:val="22"/>
        </w:rPr>
        <w:t>a) Spôsob oceňovania majetku a záväzkov (§ 25 ZoU):</w:t>
      </w:r>
    </w:p>
    <w:p>
      <w:pPr>
        <w:pStyle w:val="7"/>
        <w:tabs>
          <w:tab w:val="left" w:pos="808"/>
        </w:tabs>
        <w:ind w:left="0" w:firstLine="0"/>
        <w:jc w:val="both"/>
        <w:rPr>
          <w:rFonts w:ascii="Arial" w:hAnsi="Arial" w:cs="Arial"/>
          <w:sz w:val="22"/>
          <w:szCs w:val="22"/>
        </w:rPr>
      </w:pPr>
    </w:p>
    <w:tbl>
      <w:tblPr>
        <w:tblStyle w:val="5"/>
        <w:tblW w:w="960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06"/>
        <w:gridCol w:w="5300"/>
        <w:gridCol w:w="360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náklady</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Reprodukčná 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Časové rozlíšenie na strane aktív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Záväzky, vrátane rezerv, dlhopisov, pôžičiek a úverov:</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jc w:val="both"/>
              <w:rPr>
                <w:rFonts w:ascii="Arial Narrow" w:hAnsi="Arial Narrow" w:cs="Arial"/>
                <w:sz w:val="22"/>
                <w:szCs w:val="22"/>
                <w:lang w:eastAsia="en-US"/>
              </w:rPr>
            </w:pPr>
            <w:r>
              <w:rPr>
                <w:rFonts w:ascii="Arial Narrow" w:hAnsi="Arial Narrow" w:cs="Arial"/>
                <w:sz w:val="22"/>
                <w:szCs w:val="22"/>
              </w:rPr>
              <w:t>Časové rozlíšenie na strane pasív súvahy: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en-AU"/>
              </w:rPr>
            </w:pPr>
            <w:r>
              <w:rPr>
                <w:rFonts w:ascii="Arial Narrow" w:hAnsi="Arial Narrow" w:cs="Arial"/>
                <w:sz w:val="22"/>
                <w:szCs w:val="22"/>
                <w:lang w:val="en-AU"/>
              </w:rPr>
              <w:t>D</w:t>
            </w:r>
            <w:r>
              <w:rPr>
                <w:rFonts w:ascii="Arial Narrow" w:hAnsi="Arial Narrow" w:cs="Arial"/>
                <w:spacing w:val="-1"/>
                <w:sz w:val="22"/>
                <w:szCs w:val="22"/>
                <w:lang w:val="en-AU"/>
              </w:rPr>
              <w:t>e</w:t>
            </w:r>
            <w:r>
              <w:rPr>
                <w:rFonts w:ascii="Arial Narrow" w:hAnsi="Arial Narrow" w:cs="Arial"/>
                <w:sz w:val="22"/>
                <w:szCs w:val="22"/>
                <w:lang w:val="en-AU"/>
              </w:rPr>
              <w:t>riv</w:t>
            </w:r>
            <w:r>
              <w:rPr>
                <w:rFonts w:ascii="Arial Narrow" w:hAnsi="Arial Narrow" w:cs="Arial"/>
                <w:spacing w:val="-2"/>
                <w:sz w:val="22"/>
                <w:szCs w:val="22"/>
                <w:lang w:val="en-AU"/>
              </w:rPr>
              <w:t>á</w:t>
            </w:r>
            <w:r>
              <w:rPr>
                <w:rFonts w:ascii="Arial Narrow" w:hAnsi="Arial Narrow" w:cs="Arial"/>
                <w:sz w:val="22"/>
                <w:szCs w:val="22"/>
                <w:lang w:val="en-AU"/>
              </w:rPr>
              <w:t>ty:</w:t>
            </w:r>
          </w:p>
        </w:tc>
        <w:tc>
          <w:tcPr>
            <w:tcW w:w="3600" w:type="dxa"/>
            <w:tcBorders>
              <w:top w:val="single" w:color="auto" w:sz="4" w:space="0"/>
              <w:left w:val="single" w:color="auto" w:sz="4" w:space="0"/>
              <w:bottom w:val="single" w:color="auto" w:sz="4" w:space="0"/>
              <w:right w:val="single" w:color="auto" w:sz="4" w:space="0"/>
            </w:tcBorders>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 xml:space="preserve">Majetok a záväzky zabezpečené derivátmi: </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Prenajatý majetok a majetok obstaraný na základe zmluvy o kúpe prenajatej veci:</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706"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shd w:val="clear" w:color="auto" w:fill="auto"/>
          </w:tcPr>
          <w:p>
            <w:pPr>
              <w:jc w:val="both"/>
              <w:rPr>
                <w:rFonts w:ascii="Arial Narrow" w:hAnsi="Arial Narrow" w:cs="Arial"/>
                <w:sz w:val="22"/>
                <w:szCs w:val="22"/>
                <w:lang w:eastAsia="en-US"/>
              </w:rPr>
            </w:pPr>
            <w:r>
              <w:rPr>
                <w:rFonts w:ascii="Arial Narrow" w:hAnsi="Arial Narrow" w:cs="Arial"/>
                <w:sz w:val="22"/>
                <w:szCs w:val="22"/>
              </w:rPr>
              <w:t>Splatná daň z príjmov a odložená daň z príjmov:</w:t>
            </w:r>
          </w:p>
        </w:tc>
        <w:tc>
          <w:tcPr>
            <w:tcW w:w="3600" w:type="dxa"/>
            <w:shd w:val="clear" w:color="auto" w:fill="auto"/>
          </w:tcPr>
          <w:p>
            <w:pPr>
              <w:pStyle w:val="7"/>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b) Trvalé zníženie hodnoty majetku nebolo účtované. Prechodné zníženie hodnoty majetku je zaúčtované formou opravnej položky stanovené odborným odhadom bonity klienta. </w:t>
      </w:r>
    </w:p>
    <w:p>
      <w:pPr>
        <w:spacing w:after="120"/>
        <w:jc w:val="both"/>
        <w:rPr>
          <w:rFonts w:ascii="Arial Narrow" w:hAnsi="Arial Narrow" w:cs="Arial Narrow"/>
          <w:sz w:val="22"/>
          <w:szCs w:val="22"/>
        </w:rPr>
      </w:pPr>
      <w:r>
        <w:rPr>
          <w:rFonts w:ascii="Arial Narrow" w:hAnsi="Arial Narrow" w:cs="Arial Narrow"/>
          <w:sz w:val="22"/>
          <w:szCs w:val="22"/>
        </w:rPr>
        <w:t xml:space="preserve">c) Záväzky účtovná jednotka ocenila menovitou hodnotou záväzkov. Rezervy účtovná jednotka ocenila odborným odhadom budúcej menovitej hodnoty potrebnej na ich úhradu. </w:t>
      </w:r>
    </w:p>
    <w:p>
      <w:pPr>
        <w:spacing w:after="120"/>
        <w:jc w:val="both"/>
        <w:rPr>
          <w:rFonts w:ascii="Arial Narrow" w:hAnsi="Arial Narrow" w:cs="Arial Narrow"/>
          <w:sz w:val="22"/>
          <w:szCs w:val="22"/>
        </w:rPr>
      </w:pPr>
      <w:r>
        <w:rPr>
          <w:rFonts w:ascii="Arial Narrow" w:hAnsi="Arial Narrow" w:cs="Arial Narrow"/>
          <w:sz w:val="22"/>
          <w:szCs w:val="22"/>
        </w:rPr>
        <w:t xml:space="preserve">d) Určenie ocenenia </w:t>
      </w:r>
      <w:r>
        <w:rPr>
          <w:rFonts w:ascii="Arial Narrow" w:hAnsi="Arial Narrow" w:cs="Arial Narrow"/>
          <w:sz w:val="22"/>
          <w:szCs w:val="22"/>
          <w:u w:val="single"/>
        </w:rPr>
        <w:t>finančných nástrojov alebo majetku</w:t>
      </w:r>
      <w:r>
        <w:rPr>
          <w:rFonts w:ascii="Arial Narrow" w:hAnsi="Arial Narrow" w:cs="Arial Narrow"/>
          <w:sz w:val="22"/>
          <w:szCs w:val="22"/>
        </w:rPr>
        <w:t xml:space="preserve">, ktorý nie je finančným nástrojom pri oceňovaní </w:t>
      </w:r>
      <w:r>
        <w:rPr>
          <w:rFonts w:ascii="Arial Narrow" w:hAnsi="Arial Narrow" w:cs="Arial Narrow"/>
          <w:b/>
          <w:sz w:val="22"/>
          <w:szCs w:val="22"/>
        </w:rPr>
        <w:t>reálnou hodnotou</w:t>
      </w:r>
      <w:r>
        <w:rPr>
          <w:rFonts w:ascii="Arial Narrow" w:hAnsi="Arial Narrow" w:cs="Arial Narrow"/>
          <w:sz w:val="22"/>
          <w:szCs w:val="22"/>
        </w:rPr>
        <w:t>:</w:t>
      </w:r>
    </w:p>
    <w:p>
      <w:pPr>
        <w:spacing w:after="120"/>
        <w:jc w:val="both"/>
        <w:rPr>
          <w:rFonts w:ascii="Arial Narrow" w:hAnsi="Arial Narrow" w:cs="Arial Narrow"/>
          <w:sz w:val="22"/>
          <w:szCs w:val="22"/>
        </w:rPr>
      </w:pPr>
      <w:r>
        <w:rPr>
          <w:rFonts w:ascii="Arial Narrow" w:hAnsi="Arial Narrow" w:cs="Arial Narrow"/>
          <w:sz w:val="22"/>
          <w:szCs w:val="22"/>
        </w:rPr>
        <w:t xml:space="preserve">e) Určenie ocenenia </w:t>
      </w:r>
      <w:r>
        <w:rPr>
          <w:rFonts w:ascii="Arial Narrow" w:hAnsi="Arial Narrow" w:cs="Arial Narrow"/>
          <w:sz w:val="22"/>
          <w:szCs w:val="22"/>
          <w:u w:val="single"/>
        </w:rPr>
        <w:t>finančných nástrojov</w:t>
      </w:r>
      <w:r>
        <w:rPr>
          <w:rFonts w:ascii="Arial Narrow" w:hAnsi="Arial Narrow" w:cs="Arial Narrow"/>
          <w:sz w:val="22"/>
          <w:szCs w:val="22"/>
        </w:rPr>
        <w:t xml:space="preserve"> pri oceňovaní obstarávacou cenou alebo vlastnými nákladmi:</w:t>
      </w:r>
    </w:p>
    <w:p>
      <w:pPr>
        <w:spacing w:after="120"/>
        <w:jc w:val="both"/>
        <w:rPr>
          <w:rFonts w:ascii="Arial Narrow" w:hAnsi="Arial Narrow"/>
          <w:sz w:val="22"/>
          <w:szCs w:val="22"/>
        </w:rPr>
      </w:pPr>
      <w:r>
        <w:rPr>
          <w:rFonts w:ascii="Arial Narrow" w:hAnsi="Arial Narrow"/>
          <w:sz w:val="22"/>
          <w:szCs w:val="22"/>
          <w:u w:val="single"/>
        </w:rPr>
        <w:t>Komentár k oceňovaniu majetku a záväzkov</w:t>
      </w:r>
      <w:r>
        <w:rPr>
          <w:rFonts w:ascii="Arial Narrow" w:hAnsi="Arial Narrow"/>
          <w:sz w:val="22"/>
          <w:szCs w:val="22"/>
        </w:rPr>
        <w:t xml:space="preserve">: </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Finančné nástroje</w:t>
      </w:r>
      <w:r>
        <w:rPr>
          <w:rFonts w:ascii="Arial Narrow" w:hAnsi="Arial Narrow" w:cs="Arial Narrow"/>
          <w:sz w:val="22"/>
          <w:szCs w:val="22"/>
        </w:rPr>
        <w:t xml:space="preserve"> definuje § 5 zákona č.566/2001 Z.z. o cenných papieroch v znení neskorších predpisov – sú to napr. cenné papiere (akcie, dlhopisy, dočasné listy), deriváty (opcie, futures, swapy, forwardy), nástroje peňažného trhu (pokladničné poukážky, vkladové listy).</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Opravné položky</w:t>
      </w:r>
      <w:r>
        <w:rPr>
          <w:rFonts w:ascii="Arial Narrow" w:hAnsi="Arial Narrow" w:cs="Arial Narrow"/>
          <w:sz w:val="22"/>
          <w:szCs w:val="22"/>
        </w:rPr>
        <w:t xml:space="preserve"> k majetku, okrem dlhodobej pohľadávky a dlhodobej pôžičky, stanovila UJ odborným odhadom bonity príslušného majetku.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Opravnú položku k dlhodobej pohľadávke</w:t>
      </w:r>
      <w:r>
        <w:rPr>
          <w:rFonts w:ascii="Arial Narrow" w:hAnsi="Arial Narrow" w:cs="Arial Narrow"/>
          <w:sz w:val="22"/>
          <w:szCs w:val="22"/>
        </w:rPr>
        <w:t xml:space="preserve"> a opravnú položku k dlhodobej pôžičke UJ stanovila </w:t>
      </w:r>
      <w:r>
        <w:rPr>
          <w:rFonts w:ascii="Arial Narrow" w:hAnsi="Arial Narrow" w:cs="Arial Narrow"/>
          <w:sz w:val="22"/>
          <w:szCs w:val="22"/>
          <w:u w:val="single"/>
        </w:rPr>
        <w:t>metódu odúročenia na súčasnú hodnotu</w:t>
      </w:r>
      <w:r>
        <w:rPr>
          <w:rFonts w:ascii="Arial Narrow" w:hAnsi="Arial Narrow" w:cs="Arial Narrow"/>
          <w:sz w:val="22"/>
          <w:szCs w:val="22"/>
        </w:rPr>
        <w:t xml:space="preserve"> (§ 18/8 PU; § 21/6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u w:val="single"/>
        </w:rPr>
        <w:t>Rezervy</w:t>
      </w:r>
      <w:r>
        <w:rPr>
          <w:rFonts w:ascii="Arial Narrow" w:hAnsi="Arial Narrow" w:cs="Arial Narrow"/>
          <w:sz w:val="22"/>
          <w:szCs w:val="22"/>
        </w:rPr>
        <w:t xml:space="preserve"> ocenila UJ kalkulačnou metódou kvalifikovaného odhadu ich menovitej hodnoty na pokrytie budúcich záväzkov.</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počas účtovného obdobia (§ 25 ZoU), ani k závierkovému dňu (§ 27 ZoU) nepoužila ocenenie </w:t>
      </w:r>
      <w:r>
        <w:rPr>
          <w:rFonts w:ascii="Arial Narrow" w:hAnsi="Arial Narrow" w:cs="Arial Narrow"/>
          <w:sz w:val="22"/>
          <w:szCs w:val="22"/>
          <w:u w:val="single"/>
        </w:rPr>
        <w:t>reálnou hodnotou</w:t>
      </w:r>
      <w:r>
        <w:rPr>
          <w:rFonts w:ascii="Arial Narrow" w:hAnsi="Arial Narrow" w:cs="Arial Narrow"/>
          <w:sz w:val="22"/>
          <w:szCs w:val="22"/>
        </w:rPr>
        <w:t xml:space="preserve"> – lebo nemala k tomu vecnú náplň.</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úbytku rovnakého druhu zásob a cenných papierov – </w:t>
      </w:r>
      <w:r>
        <w:rPr>
          <w:rFonts w:ascii="Arial Narrow" w:hAnsi="Arial Narrow" w:cs="Arial Narrow"/>
          <w:sz w:val="22"/>
          <w:szCs w:val="22"/>
          <w:u w:val="single"/>
        </w:rPr>
        <w:t>vážený aritmetický priemer</w:t>
      </w:r>
      <w:r>
        <w:rPr>
          <w:rFonts w:ascii="Arial Narrow" w:hAnsi="Arial Narrow" w:cs="Arial Narrow"/>
          <w:sz w:val="22"/>
          <w:szCs w:val="22"/>
        </w:rPr>
        <w:t xml:space="preserve"> (§ 25/5 ZoU; § 22/1 PU).</w:t>
      </w:r>
    </w:p>
    <w:p>
      <w:pPr>
        <w:numPr>
          <w:ilvl w:val="0"/>
          <w:numId w:val="3"/>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prírastku</w:t>
      </w:r>
      <w:r>
        <w:rPr>
          <w:rFonts w:ascii="Arial Narrow" w:hAnsi="Arial Narrow" w:cs="Arial Narrow"/>
          <w:sz w:val="22"/>
          <w:szCs w:val="22"/>
        </w:rPr>
        <w:t xml:space="preserve"> cudzej meny v hotovosti alebo na bankový účet – </w:t>
      </w:r>
      <w:r>
        <w:rPr>
          <w:rFonts w:ascii="Arial Narrow" w:hAnsi="Arial Narrow" w:cs="Arial Narrow"/>
          <w:sz w:val="22"/>
          <w:szCs w:val="22"/>
          <w:u w:val="single"/>
        </w:rPr>
        <w:t>zmenárenský kurz</w:t>
      </w:r>
      <w:r>
        <w:rPr>
          <w:rFonts w:ascii="Arial Narrow" w:hAnsi="Arial Narrow" w:cs="Arial Narrow"/>
          <w:sz w:val="22"/>
          <w:szCs w:val="22"/>
        </w:rPr>
        <w:t xml:space="preserve"> konkrétnej banky (§ 24/3 ZoU).</w:t>
      </w:r>
    </w:p>
    <w:p>
      <w:pPr>
        <w:numPr>
          <w:ilvl w:val="0"/>
          <w:numId w:val="3"/>
        </w:numPr>
        <w:spacing w:after="120"/>
        <w:ind w:left="227" w:hanging="227"/>
        <w:jc w:val="both"/>
        <w:rPr>
          <w:rFonts w:ascii="Arial Narrow" w:hAnsi="Arial Narrow" w:cs="Arial Narrow"/>
          <w:b/>
          <w:sz w:val="22"/>
          <w:szCs w:val="22"/>
        </w:rPr>
      </w:pPr>
      <w:r>
        <w:rPr>
          <w:rFonts w:ascii="Arial Narrow" w:hAnsi="Arial Narrow" w:cs="Arial Narrow"/>
          <w:sz w:val="22"/>
          <w:szCs w:val="22"/>
        </w:rPr>
        <w:t xml:space="preserve">ÚJ používa pri oceňovaní </w:t>
      </w:r>
      <w:r>
        <w:rPr>
          <w:rFonts w:ascii="Arial Narrow" w:hAnsi="Arial Narrow" w:cs="Arial Narrow"/>
          <w:sz w:val="22"/>
          <w:szCs w:val="22"/>
          <w:u w:val="single"/>
        </w:rPr>
        <w:t>úbytku</w:t>
      </w:r>
      <w:r>
        <w:rPr>
          <w:rFonts w:ascii="Arial Narrow" w:hAnsi="Arial Narrow" w:cs="Arial Narrow"/>
          <w:sz w:val="22"/>
          <w:szCs w:val="22"/>
        </w:rPr>
        <w:t xml:space="preserve"> cudzej meny v hotovosti alebo z bankového účtu – </w:t>
      </w:r>
      <w:r>
        <w:rPr>
          <w:rFonts w:ascii="Arial Narrow" w:hAnsi="Arial Narrow" w:cs="Arial Narrow"/>
          <w:sz w:val="22"/>
          <w:szCs w:val="22"/>
          <w:u w:val="single"/>
        </w:rPr>
        <w:t>základné pravidlo</w:t>
      </w:r>
      <w:r>
        <w:rPr>
          <w:rFonts w:ascii="Arial Narrow" w:hAnsi="Arial Narrow" w:cs="Arial Narrow"/>
          <w:sz w:val="22"/>
          <w:szCs w:val="22"/>
        </w:rPr>
        <w:t xml:space="preserve"> (D-1), teda kurz zo dňa predchádzajúceho dňu účtovného prípadu (§ 24/2/a; § 24/6 ZoU).</w:t>
      </w:r>
      <w:r>
        <w:rPr>
          <w:rFonts w:ascii="Arial Narrow" w:hAnsi="Arial Narrow" w:cs="Arial Narrow"/>
          <w:b/>
          <w:sz w:val="22"/>
          <w:szCs w:val="22"/>
        </w:rPr>
        <w:t xml:space="preserve"> </w:t>
      </w:r>
    </w:p>
    <w:p>
      <w:pPr>
        <w:spacing w:after="120"/>
        <w:jc w:val="both"/>
        <w:rPr>
          <w:rFonts w:ascii="Arial Narrow" w:hAnsi="Arial Narrow" w:cs="Arial Narrow"/>
          <w:sz w:val="22"/>
          <w:szCs w:val="22"/>
        </w:rPr>
      </w:pPr>
      <w:r>
        <w:rPr>
          <w:rFonts w:ascii="Arial Narrow" w:hAnsi="Arial Narrow" w:cs="Arial Narrow"/>
          <w:sz w:val="22"/>
          <w:szCs w:val="22"/>
        </w:rPr>
        <w:t xml:space="preserve">f) Účtovná jednotka nepoužila dobrovoľné oceňovanie obchodných podielov </w:t>
      </w:r>
      <w:r>
        <w:rPr>
          <w:rFonts w:ascii="Arial Narrow" w:hAnsi="Arial Narrow" w:cs="Arial Narrow"/>
          <w:sz w:val="22"/>
          <w:szCs w:val="22"/>
          <w:u w:val="single"/>
        </w:rPr>
        <w:t>metódou vlastného imania</w:t>
      </w:r>
      <w:r>
        <w:rPr>
          <w:rFonts w:ascii="Arial Narrow" w:hAnsi="Arial Narrow" w:cs="Arial Narrow"/>
          <w:sz w:val="22"/>
          <w:szCs w:val="22"/>
        </w:rPr>
        <w:t xml:space="preserve"> (§ 27/9 ZoU).</w:t>
      </w:r>
    </w:p>
    <w:p/>
    <w:p>
      <w:pPr>
        <w:pStyle w:val="3"/>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g) </w:t>
      </w:r>
      <w:r>
        <w:rPr>
          <w:rFonts w:ascii="Arial Narrow" w:hAnsi="Arial Narrow" w:cs="Arial Narrow"/>
          <w:bCs w:val="0"/>
          <w:sz w:val="22"/>
          <w:szCs w:val="22"/>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tbl>
      <w:tblPr>
        <w:tblStyle w:val="5"/>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218"/>
        <w:gridCol w:w="1013"/>
        <w:gridCol w:w="2107"/>
        <w:gridCol w:w="226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center"/>
              <w:rPr>
                <w:rFonts w:ascii="Arial Narrow" w:hAnsi="Arial Narrow" w:cs="Arial"/>
                <w:b/>
                <w:sz w:val="22"/>
                <w:szCs w:val="22"/>
              </w:rPr>
            </w:pPr>
            <w:r>
              <w:rPr>
                <w:rFonts w:ascii="Arial Narrow" w:hAnsi="Arial Narrow" w:cs="Arial"/>
                <w:b/>
                <w:sz w:val="22"/>
                <w:szCs w:val="22"/>
              </w:rPr>
              <w:t>Dlhodobý hmotný a nehmotný</w:t>
            </w:r>
          </w:p>
          <w:p>
            <w:pPr>
              <w:jc w:val="center"/>
              <w:rPr>
                <w:rFonts w:ascii="Arial Narrow" w:hAnsi="Arial Narrow" w:cs="Arial"/>
                <w:b/>
                <w:sz w:val="22"/>
                <w:szCs w:val="22"/>
              </w:rPr>
            </w:pPr>
            <w:r>
              <w:rPr>
                <w:rFonts w:ascii="Arial Narrow" w:hAnsi="Arial Narrow" w:cs="Arial"/>
                <w:b/>
                <w:sz w:val="22"/>
                <w:szCs w:val="22"/>
              </w:rPr>
              <w:t>odpisovaný majetok</w:t>
            </w:r>
          </w:p>
        </w:tc>
        <w:tc>
          <w:tcPr>
            <w:tcW w:w="1013" w:type="dxa"/>
          </w:tcPr>
          <w:p>
            <w:pPr>
              <w:jc w:val="center"/>
              <w:rPr>
                <w:rFonts w:ascii="Arial Narrow" w:hAnsi="Arial Narrow" w:cs="Arial"/>
                <w:b/>
                <w:sz w:val="22"/>
                <w:szCs w:val="22"/>
              </w:rPr>
            </w:pPr>
            <w:r>
              <w:rPr>
                <w:rFonts w:ascii="Arial Narrow" w:hAnsi="Arial Narrow" w:cs="Arial"/>
                <w:b/>
                <w:sz w:val="22"/>
                <w:szCs w:val="22"/>
              </w:rPr>
              <w:t>číslo</w:t>
            </w:r>
          </w:p>
          <w:p>
            <w:pPr>
              <w:jc w:val="center"/>
              <w:rPr>
                <w:rFonts w:ascii="Arial Narrow" w:hAnsi="Arial Narrow" w:cs="Arial"/>
                <w:b/>
                <w:sz w:val="22"/>
                <w:szCs w:val="22"/>
              </w:rPr>
            </w:pPr>
            <w:r>
              <w:rPr>
                <w:rFonts w:ascii="Arial Narrow" w:hAnsi="Arial Narrow" w:cs="Arial"/>
                <w:b/>
                <w:sz w:val="22"/>
                <w:szCs w:val="22"/>
              </w:rPr>
              <w:t>účtu</w:t>
            </w:r>
          </w:p>
        </w:tc>
        <w:tc>
          <w:tcPr>
            <w:tcW w:w="2107" w:type="dxa"/>
          </w:tcPr>
          <w:p>
            <w:pPr>
              <w:jc w:val="center"/>
              <w:rPr>
                <w:rFonts w:ascii="Arial Narrow" w:hAnsi="Arial Narrow" w:cs="Arial"/>
                <w:b/>
                <w:sz w:val="22"/>
                <w:szCs w:val="22"/>
              </w:rPr>
            </w:pPr>
            <w:r>
              <w:rPr>
                <w:rFonts w:ascii="Arial Narrow" w:hAnsi="Arial Narrow" w:cs="Arial"/>
                <w:b/>
                <w:sz w:val="22"/>
                <w:szCs w:val="22"/>
              </w:rPr>
              <w:t>doba odpisovania</w:t>
            </w:r>
          </w:p>
          <w:p>
            <w:pPr>
              <w:jc w:val="center"/>
              <w:rPr>
                <w:rFonts w:ascii="Arial Narrow" w:hAnsi="Arial Narrow" w:cs="Arial"/>
                <w:b/>
                <w:sz w:val="22"/>
                <w:szCs w:val="22"/>
              </w:rPr>
            </w:pPr>
            <w:r>
              <w:rPr>
                <w:rFonts w:ascii="Arial Narrow" w:hAnsi="Arial Narrow" w:cs="Arial"/>
                <w:b/>
                <w:sz w:val="22"/>
                <w:szCs w:val="22"/>
              </w:rPr>
              <w:t>(počet rokov)</w:t>
            </w:r>
          </w:p>
        </w:tc>
        <w:tc>
          <w:tcPr>
            <w:tcW w:w="2268" w:type="dxa"/>
          </w:tcPr>
          <w:p>
            <w:pPr>
              <w:jc w:val="center"/>
              <w:rPr>
                <w:rFonts w:ascii="Arial Narrow" w:hAnsi="Arial Narrow" w:cs="Arial"/>
                <w:b/>
                <w:sz w:val="22"/>
                <w:szCs w:val="22"/>
              </w:rPr>
            </w:pPr>
            <w:r>
              <w:rPr>
                <w:rFonts w:ascii="Arial Narrow" w:hAnsi="Arial Narrow" w:cs="Arial"/>
                <w:b/>
                <w:sz w:val="22"/>
                <w:szCs w:val="22"/>
              </w:rPr>
              <w:t xml:space="preserve">odpisová sadzba </w:t>
            </w:r>
          </w:p>
          <w:p>
            <w:pPr>
              <w:jc w:val="center"/>
              <w:rPr>
                <w:rFonts w:ascii="Arial Narrow" w:hAnsi="Arial Narrow" w:cs="Arial"/>
                <w:b/>
                <w:sz w:val="22"/>
                <w:szCs w:val="22"/>
              </w:rPr>
            </w:pPr>
            <w:r>
              <w:rPr>
                <w:rFonts w:ascii="Arial Narrow" w:hAnsi="Arial Narrow" w:cs="Arial"/>
                <w:b/>
                <w:sz w:val="22"/>
                <w:szCs w:val="22"/>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Software</w:t>
            </w:r>
          </w:p>
        </w:tc>
        <w:tc>
          <w:tcPr>
            <w:tcW w:w="1013" w:type="dxa"/>
          </w:tcPr>
          <w:p>
            <w:pPr>
              <w:jc w:val="center"/>
              <w:rPr>
                <w:rFonts w:ascii="Arial Narrow" w:hAnsi="Arial Narrow" w:cs="Arial"/>
                <w:sz w:val="22"/>
                <w:szCs w:val="22"/>
              </w:rPr>
            </w:pPr>
            <w:r>
              <w:rPr>
                <w:rFonts w:ascii="Arial Narrow" w:hAnsi="Arial Narrow" w:cs="Arial"/>
                <w:sz w:val="22"/>
                <w:szCs w:val="22"/>
              </w:rPr>
              <w:t>013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 xml:space="preserve">Ostatný DNM </w:t>
            </w:r>
          </w:p>
        </w:tc>
        <w:tc>
          <w:tcPr>
            <w:tcW w:w="1013" w:type="dxa"/>
          </w:tcPr>
          <w:p>
            <w:pPr>
              <w:jc w:val="center"/>
              <w:rPr>
                <w:rFonts w:ascii="Arial Narrow" w:hAnsi="Arial Narrow" w:cs="Arial"/>
                <w:sz w:val="22"/>
                <w:szCs w:val="22"/>
              </w:rPr>
            </w:pPr>
            <w:r>
              <w:rPr>
                <w:rFonts w:ascii="Arial Narrow" w:hAnsi="Arial Narrow" w:cs="Arial"/>
                <w:sz w:val="22"/>
                <w:szCs w:val="22"/>
              </w:rPr>
              <w:t>019</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Stavby</w:t>
            </w:r>
          </w:p>
        </w:tc>
        <w:tc>
          <w:tcPr>
            <w:tcW w:w="1013" w:type="dxa"/>
          </w:tcPr>
          <w:p>
            <w:pPr>
              <w:jc w:val="center"/>
              <w:rPr>
                <w:rFonts w:ascii="Arial Narrow" w:hAnsi="Arial Narrow" w:cs="Arial"/>
                <w:sz w:val="22"/>
                <w:szCs w:val="22"/>
              </w:rPr>
            </w:pPr>
            <w:r>
              <w:rPr>
                <w:rFonts w:ascii="Arial Narrow" w:hAnsi="Arial Narrow" w:cs="Arial"/>
                <w:sz w:val="22"/>
                <w:szCs w:val="22"/>
              </w:rPr>
              <w:t>021</w:t>
            </w:r>
          </w:p>
        </w:tc>
        <w:tc>
          <w:tcPr>
            <w:tcW w:w="2107" w:type="dxa"/>
          </w:tcPr>
          <w:p>
            <w:pPr>
              <w:jc w:val="center"/>
              <w:rPr>
                <w:rFonts w:ascii="Arial Narrow" w:hAnsi="Arial Narrow" w:cs="Arial"/>
                <w:sz w:val="22"/>
                <w:szCs w:val="22"/>
              </w:rPr>
            </w:pPr>
            <w:r>
              <w:rPr>
                <w:rFonts w:ascii="Arial Narrow" w:hAnsi="Arial Narrow" w:cs="Arial"/>
                <w:sz w:val="22"/>
                <w:szCs w:val="22"/>
              </w:rPr>
              <w:t>40</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Počítače s príslušenstvom</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Dopravné prostriedky</w:t>
            </w:r>
          </w:p>
        </w:tc>
        <w:tc>
          <w:tcPr>
            <w:tcW w:w="1013" w:type="dxa"/>
          </w:tcPr>
          <w:p>
            <w:pPr>
              <w:jc w:val="center"/>
              <w:rPr>
                <w:rFonts w:ascii="Arial Narrow" w:hAnsi="Arial Narrow" w:cs="Arial"/>
                <w:sz w:val="22"/>
                <w:szCs w:val="22"/>
              </w:rPr>
            </w:pPr>
            <w:r>
              <w:rPr>
                <w:rFonts w:ascii="Arial Narrow" w:hAnsi="Arial Narrow" w:cs="Arial"/>
                <w:sz w:val="22"/>
                <w:szCs w:val="22"/>
              </w:rPr>
              <w:t>023</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14,3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Ostatné stroje</w:t>
            </w:r>
          </w:p>
        </w:tc>
        <w:tc>
          <w:tcPr>
            <w:tcW w:w="1013" w:type="dxa"/>
          </w:tcPr>
          <w:p>
            <w:pPr>
              <w:jc w:val="center"/>
              <w:rPr>
                <w:rFonts w:ascii="Arial Narrow" w:hAnsi="Arial Narrow" w:cs="Arial"/>
                <w:sz w:val="22"/>
                <w:szCs w:val="22"/>
              </w:rPr>
            </w:pPr>
            <w:r>
              <w:rPr>
                <w:rFonts w:ascii="Arial Narrow" w:hAnsi="Arial Narrow" w:cs="Arial"/>
                <w:sz w:val="22"/>
                <w:szCs w:val="22"/>
              </w:rPr>
              <w:t>022.A</w:t>
            </w:r>
          </w:p>
        </w:tc>
        <w:tc>
          <w:tcPr>
            <w:tcW w:w="2107" w:type="dxa"/>
          </w:tcPr>
          <w:p>
            <w:pPr>
              <w:jc w:val="center"/>
              <w:rPr>
                <w:rFonts w:ascii="Arial Narrow" w:hAnsi="Arial Narrow" w:cs="Arial"/>
                <w:sz w:val="22"/>
                <w:szCs w:val="22"/>
              </w:rPr>
            </w:pPr>
            <w:r>
              <w:rPr>
                <w:rFonts w:ascii="Arial Narrow" w:hAnsi="Arial Narrow" w:cs="Arial"/>
                <w:sz w:val="22"/>
                <w:szCs w:val="22"/>
              </w:rPr>
              <w:t>4</w:t>
            </w:r>
          </w:p>
        </w:tc>
        <w:tc>
          <w:tcPr>
            <w:tcW w:w="2268" w:type="dxa"/>
          </w:tcPr>
          <w:p>
            <w:pPr>
              <w:jc w:val="center"/>
              <w:rPr>
                <w:rFonts w:ascii="Arial Narrow" w:hAnsi="Arial Narrow" w:cs="Arial"/>
                <w:sz w:val="22"/>
                <w:szCs w:val="22"/>
              </w:rPr>
            </w:pPr>
            <w:r>
              <w:rPr>
                <w:rFonts w:ascii="Arial Narrow" w:hAnsi="Arial Narrow" w:cs="Arial"/>
                <w:sz w:val="22"/>
                <w:szCs w:val="22"/>
              </w:rPr>
              <w:t>25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4218" w:type="dxa"/>
          </w:tcPr>
          <w:p>
            <w:pPr>
              <w:jc w:val="both"/>
              <w:rPr>
                <w:rFonts w:ascii="Arial Narrow" w:hAnsi="Arial Narrow" w:cs="Arial"/>
                <w:sz w:val="22"/>
                <w:szCs w:val="22"/>
              </w:rPr>
            </w:pPr>
            <w:r>
              <w:rPr>
                <w:rFonts w:ascii="Arial Narrow" w:hAnsi="Arial Narrow" w:cs="Arial"/>
                <w:sz w:val="22"/>
                <w:szCs w:val="22"/>
              </w:rPr>
              <w:t>Ostatný dlhodobý hmotný majetok</w:t>
            </w:r>
          </w:p>
        </w:tc>
        <w:tc>
          <w:tcPr>
            <w:tcW w:w="1013" w:type="dxa"/>
          </w:tcPr>
          <w:p>
            <w:pPr>
              <w:jc w:val="center"/>
              <w:rPr>
                <w:rFonts w:ascii="Arial Narrow" w:hAnsi="Arial Narrow" w:cs="Arial"/>
                <w:sz w:val="22"/>
                <w:szCs w:val="22"/>
              </w:rPr>
            </w:pPr>
            <w:r>
              <w:rPr>
                <w:rFonts w:ascii="Arial Narrow" w:hAnsi="Arial Narrow" w:cs="Arial"/>
                <w:sz w:val="22"/>
                <w:szCs w:val="22"/>
              </w:rPr>
              <w:t>029</w:t>
            </w:r>
          </w:p>
        </w:tc>
        <w:tc>
          <w:tcPr>
            <w:tcW w:w="2107" w:type="dxa"/>
          </w:tcPr>
          <w:p>
            <w:pPr>
              <w:jc w:val="center"/>
              <w:rPr>
                <w:rFonts w:ascii="Arial Narrow" w:hAnsi="Arial Narrow" w:cs="Arial"/>
                <w:sz w:val="22"/>
                <w:szCs w:val="22"/>
              </w:rPr>
            </w:pPr>
            <w:r>
              <w:rPr>
                <w:rFonts w:ascii="Arial Narrow" w:hAnsi="Arial Narrow" w:cs="Arial"/>
                <w:sz w:val="22"/>
                <w:szCs w:val="22"/>
              </w:rPr>
              <w:t>5</w:t>
            </w:r>
          </w:p>
        </w:tc>
        <w:tc>
          <w:tcPr>
            <w:tcW w:w="2268" w:type="dxa"/>
          </w:tcPr>
          <w:p>
            <w:pPr>
              <w:jc w:val="center"/>
              <w:rPr>
                <w:rFonts w:ascii="Arial Narrow" w:hAnsi="Arial Narrow" w:cs="Arial"/>
                <w:sz w:val="22"/>
                <w:szCs w:val="22"/>
              </w:rPr>
            </w:pPr>
            <w:r>
              <w:rPr>
                <w:rFonts w:ascii="Arial Narrow" w:hAnsi="Arial Narrow" w:cs="Arial"/>
                <w:sz w:val="22"/>
                <w:szCs w:val="22"/>
              </w:rPr>
              <w:t>20</w:t>
            </w:r>
          </w:p>
        </w:tc>
      </w:tr>
    </w:tbl>
    <w:p>
      <w:pPr>
        <w:jc w:val="both"/>
        <w:rPr>
          <w:rFonts w:ascii="Arial Narrow" w:hAnsi="Arial Narrow" w:cs="Arial"/>
          <w:sz w:val="22"/>
          <w:szCs w:val="22"/>
        </w:rPr>
      </w:pPr>
      <w:r>
        <w:rPr>
          <w:rFonts w:ascii="Arial Narrow" w:hAnsi="Arial Narrow" w:cs="Arial"/>
          <w:sz w:val="22"/>
          <w:szCs w:val="22"/>
        </w:rPr>
        <w:t xml:space="preserve"> </w:t>
      </w:r>
    </w:p>
    <w:p>
      <w:pPr>
        <w:jc w:val="both"/>
        <w:rPr>
          <w:rFonts w:ascii="Arial Narrow" w:hAnsi="Arial Narrow" w:cs="Arial"/>
          <w:sz w:val="22"/>
          <w:szCs w:val="22"/>
        </w:rPr>
      </w:pPr>
    </w:p>
    <w:p>
      <w:pPr>
        <w:jc w:val="both"/>
        <w:rPr>
          <w:rFonts w:ascii="Arial Narrow" w:hAnsi="Arial Narrow" w:cs="Arial"/>
          <w:sz w:val="22"/>
          <w:szCs w:val="22"/>
        </w:rPr>
      </w:pPr>
    </w:p>
    <w:p>
      <w:pPr>
        <w:spacing w:after="120"/>
        <w:rPr>
          <w:rFonts w:ascii="Arial Narrow" w:hAnsi="Arial Narrow"/>
          <w:sz w:val="22"/>
          <w:szCs w:val="22"/>
        </w:rPr>
      </w:pPr>
      <w:r>
        <w:rPr>
          <w:rFonts w:ascii="Arial Narrow" w:hAnsi="Arial Narrow"/>
          <w:sz w:val="22"/>
          <w:szCs w:val="22"/>
          <w:u w:val="single"/>
        </w:rPr>
        <w:t>Komentár k odpisovému plánu</w:t>
      </w:r>
      <w:r>
        <w:rPr>
          <w:rFonts w:ascii="Arial Narrow" w:hAnsi="Arial Narrow"/>
          <w:sz w:val="22"/>
          <w:szCs w:val="22"/>
        </w:rPr>
        <w:t xml:space="preserve">: </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účtovné odpisy nezávisle na daňových odpisoch</w:t>
      </w:r>
      <w:r>
        <w:rPr>
          <w:rFonts w:ascii="Arial Narrow" w:hAnsi="Arial Narrow" w:cs="Arial"/>
          <w:sz w:val="22"/>
          <w:szCs w:val="22"/>
        </w:rPr>
        <w:t xml:space="preserve">. Majetok sa začína odpisovať v mesiaci, kedy bol </w:t>
      </w:r>
      <w:r>
        <w:rPr>
          <w:rFonts w:ascii="Arial Narrow" w:hAnsi="Arial Narrow" w:cs="Arial"/>
          <w:sz w:val="22"/>
          <w:szCs w:val="22"/>
          <w:u w:val="single"/>
        </w:rPr>
        <w:t>zaradený do užívania</w:t>
      </w:r>
      <w:r>
        <w:rPr>
          <w:rFonts w:ascii="Arial Narrow" w:hAnsi="Arial Narrow" w:cs="Arial"/>
          <w:sz w:val="22"/>
          <w:szCs w:val="22"/>
        </w:rPr>
        <w:t>. Účtovné odpisy vychádzajú z predpokladanej doby používania majetku. Dlhodobý nehmotný majetok sa odpisuje počas 4 rokov od jeho obstarania.</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používa </w:t>
      </w:r>
      <w:r>
        <w:rPr>
          <w:rFonts w:ascii="Arial Narrow" w:hAnsi="Arial Narrow" w:cs="Arial"/>
          <w:sz w:val="22"/>
          <w:szCs w:val="22"/>
          <w:u w:val="single"/>
        </w:rPr>
        <w:t>rovnomerné odpisovanie</w:t>
      </w:r>
      <w:r>
        <w:rPr>
          <w:rFonts w:ascii="Arial Narrow" w:hAnsi="Arial Narrow" w:cs="Arial"/>
          <w:sz w:val="22"/>
          <w:szCs w:val="22"/>
        </w:rPr>
        <w:t xml:space="preserve"> dlhodobého hmotného majetku a dlhodobého nehmotného majetku. Podrobný účtovný odpisový plán po položkách sa vedie v podsystéme Majetok s podporou softvéru Money (taktiež daňové odpisy podľa zákona o dani z príjmov).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w:sz w:val="22"/>
          <w:szCs w:val="22"/>
        </w:rPr>
        <w:t xml:space="preserve">UJ odpisuje jednotlivé veci alebo relevantné </w:t>
      </w:r>
      <w:r>
        <w:rPr>
          <w:rFonts w:ascii="Arial Narrow" w:hAnsi="Arial Narrow" w:cs="Arial"/>
          <w:sz w:val="22"/>
          <w:szCs w:val="22"/>
          <w:u w:val="single"/>
        </w:rPr>
        <w:t>súbory hnuteľných vecí</w:t>
      </w:r>
      <w:r>
        <w:rPr>
          <w:rFonts w:ascii="Arial Narrow" w:hAnsi="Arial Narrow" w:cs="Arial"/>
          <w:sz w:val="22"/>
          <w:szCs w:val="22"/>
        </w:rPr>
        <w:t xml:space="preserve"> (napr. počítačová sieť, nábytková zostava). UJ nepoužíva komponentné odpisovanie (odpisovanie častí majetku - komponentov).</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UJ nepoužila </w:t>
      </w:r>
      <w:r>
        <w:rPr>
          <w:rFonts w:ascii="Arial Narrow" w:hAnsi="Arial Narrow" w:cs="Arial Narrow"/>
          <w:sz w:val="22"/>
          <w:szCs w:val="22"/>
          <w:u w:val="single"/>
        </w:rPr>
        <w:t>jednorazový odpis</w:t>
      </w:r>
      <w:r>
        <w:rPr>
          <w:rFonts w:ascii="Arial Narrow" w:hAnsi="Arial Narrow" w:cs="Arial Narrow"/>
          <w:b/>
          <w:sz w:val="22"/>
          <w:szCs w:val="22"/>
        </w:rPr>
        <w:t xml:space="preserve"> </w:t>
      </w:r>
      <w:r>
        <w:rPr>
          <w:rFonts w:ascii="Arial Narrow" w:hAnsi="Arial Narrow" w:cs="Arial Narrow"/>
          <w:sz w:val="22"/>
          <w:szCs w:val="22"/>
        </w:rPr>
        <w:t>dlhodobého majetku z dôvodu jednorazového trvalého zníženia hodnoty majetku (§ 21/5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nehmotného majetku</w:t>
      </w:r>
      <w:r>
        <w:rPr>
          <w:rFonts w:ascii="Arial Narrow" w:hAnsi="Arial Narrow"/>
          <w:sz w:val="22"/>
          <w:szCs w:val="22"/>
        </w:rPr>
        <w:t xml:space="preserve"> - položky pod 2 400 eur jednotkovej ceny so životnosťou nad jeden rok (§ 13/2 PU).</w:t>
      </w:r>
    </w:p>
    <w:p>
      <w:pPr>
        <w:numPr>
          <w:ilvl w:val="0"/>
          <w:numId w:val="4"/>
        </w:numPr>
        <w:spacing w:after="120"/>
        <w:ind w:left="227" w:hanging="227"/>
        <w:jc w:val="both"/>
        <w:rPr>
          <w:rFonts w:ascii="Arial Narrow" w:hAnsi="Arial Narrow"/>
          <w:sz w:val="22"/>
          <w:szCs w:val="22"/>
        </w:rPr>
      </w:pPr>
      <w:r>
        <w:rPr>
          <w:rFonts w:ascii="Arial Narrow" w:hAnsi="Arial Narrow"/>
          <w:sz w:val="22"/>
          <w:szCs w:val="22"/>
        </w:rPr>
        <w:t xml:space="preserve">ÚJ </w:t>
      </w:r>
      <w:r>
        <w:rPr>
          <w:rFonts w:ascii="Arial Narrow" w:hAnsi="Arial Narrow"/>
          <w:sz w:val="22"/>
          <w:szCs w:val="22"/>
          <w:u w:val="single"/>
        </w:rPr>
        <w:t>nepoužíva kategóriu drobného dlhodobého hmotného majetku</w:t>
      </w:r>
      <w:r>
        <w:rPr>
          <w:rFonts w:ascii="Arial Narrow" w:hAnsi="Arial Narrow"/>
          <w:sz w:val="22"/>
          <w:szCs w:val="22"/>
        </w:rPr>
        <w:t xml:space="preserve"> - položky pod 1 700 eur jednotkovej ceny so životnosťou nad jeden rok (§ 13/6 PU).</w:t>
      </w:r>
    </w:p>
    <w:p>
      <w:pPr>
        <w:numPr>
          <w:ilvl w:val="0"/>
          <w:numId w:val="4"/>
        </w:numPr>
        <w:spacing w:after="120"/>
        <w:ind w:left="227" w:hanging="227"/>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dobrovoľné účtovanie podlimitného technického zhodnotenia</w:t>
      </w:r>
      <w:r>
        <w:rPr>
          <w:rFonts w:ascii="Arial Narrow" w:hAnsi="Arial Narrow" w:cs="Arial Narrow"/>
          <w:sz w:val="22"/>
          <w:szCs w:val="22"/>
        </w:rPr>
        <w:t xml:space="preserve"> do odpisovaného dlhodobého majetku – technické zhodnotenie pod 1 700 eur za účtovné obdobie (§ 21/3 PU; § 29/2 ZDP).</w:t>
      </w:r>
    </w:p>
    <w:p>
      <w:pPr>
        <w:numPr>
          <w:ilvl w:val="0"/>
          <w:numId w:val="4"/>
        </w:numPr>
        <w:spacing w:after="120"/>
        <w:jc w:val="both"/>
        <w:rPr>
          <w:rFonts w:ascii="Arial Narrow" w:hAnsi="Arial Narrow" w:cs="Arial Narrow"/>
          <w:sz w:val="22"/>
          <w:szCs w:val="22"/>
        </w:rPr>
      </w:pPr>
      <w:r>
        <w:rPr>
          <w:rFonts w:ascii="Arial Narrow" w:hAnsi="Arial Narrow" w:cs="Arial Narrow"/>
          <w:sz w:val="22"/>
          <w:szCs w:val="22"/>
        </w:rPr>
        <w:t xml:space="preserve">ÚJ </w:t>
      </w:r>
      <w:r>
        <w:rPr>
          <w:rFonts w:ascii="Arial Narrow" w:hAnsi="Arial Narrow" w:cs="Arial Narrow"/>
          <w:sz w:val="22"/>
          <w:szCs w:val="22"/>
          <w:u w:val="single"/>
        </w:rPr>
        <w:t>nepoužíva dobrovoľnú kapitalizáciu úrokov</w:t>
      </w:r>
      <w:r>
        <w:rPr>
          <w:rFonts w:ascii="Arial Narrow" w:hAnsi="Arial Narrow" w:cs="Arial Narrow"/>
          <w:sz w:val="22"/>
          <w:szCs w:val="22"/>
        </w:rPr>
        <w:t xml:space="preserve"> do obstarávacej ceny odpisovaného dlhodobého hmotného majetku alebo dlhodobého nehmotného majetku (§ 34/1 PU; § 35/2/h PU).</w:t>
      </w:r>
    </w:p>
    <w:p>
      <w:pPr>
        <w:spacing w:after="120"/>
        <w:jc w:val="both"/>
        <w:rPr>
          <w:rFonts w:ascii="Arial Narrow" w:hAnsi="Arial Narrow" w:cs="Arial Narrow"/>
          <w:sz w:val="22"/>
          <w:szCs w:val="22"/>
        </w:rPr>
      </w:pPr>
    </w:p>
    <w:p>
      <w:pPr>
        <w:pStyle w:val="3"/>
        <w:jc w:val="both"/>
        <w:rPr>
          <w:rFonts w:ascii="Arial Narrow" w:hAnsi="Arial Narrow" w:cs="Arial Narrow"/>
          <w:b w:val="0"/>
          <w:bCs w:val="0"/>
          <w:sz w:val="22"/>
          <w:szCs w:val="22"/>
          <w:lang w:val="sk-SK"/>
        </w:rPr>
      </w:pPr>
      <w:r>
        <w:rPr>
          <w:rFonts w:ascii="Arial Narrow" w:hAnsi="Arial Narrow" w:cs="Arial Narrow"/>
          <w:b w:val="0"/>
          <w:bCs w:val="0"/>
          <w:sz w:val="22"/>
          <w:szCs w:val="22"/>
        </w:rPr>
        <w:t xml:space="preserve">h) Informácia </w:t>
      </w:r>
      <w:r>
        <w:rPr>
          <w:rFonts w:ascii="Arial Narrow" w:hAnsi="Arial Narrow" w:cs="Arial Narrow"/>
          <w:bCs w:val="0"/>
          <w:sz w:val="22"/>
          <w:szCs w:val="22"/>
        </w:rPr>
        <w:t>o poskytnutých dotáciách</w:t>
      </w:r>
      <w:r>
        <w:rPr>
          <w:rFonts w:ascii="Arial Narrow" w:hAnsi="Arial Narrow" w:cs="Arial Narrow"/>
          <w:b w:val="0"/>
          <w:bCs w:val="0"/>
          <w:sz w:val="22"/>
          <w:szCs w:val="22"/>
        </w:rPr>
        <w:t xml:space="preserve"> a pri dotáciách na obstaranie majetku sa uvedú zložky majetku a ich ocenenie: </w:t>
      </w:r>
      <w:r>
        <w:rPr>
          <w:rFonts w:ascii="Arial Narrow" w:hAnsi="Arial Narrow" w:cs="Arial Narrow"/>
          <w:b w:val="0"/>
          <w:bCs w:val="0"/>
          <w:sz w:val="22"/>
          <w:szCs w:val="22"/>
          <w:lang w:val="sk-SK"/>
        </w:rPr>
        <w:t>žiadne</w:t>
      </w:r>
    </w:p>
    <w:p>
      <w:pPr>
        <w:pStyle w:val="3"/>
        <w:jc w:val="both"/>
        <w:rPr>
          <w:rFonts w:ascii="Arial Narrow" w:hAnsi="Arial Narrow" w:cs="Arial Narrow"/>
          <w:b w:val="0"/>
          <w:bCs w:val="0"/>
          <w:sz w:val="22"/>
          <w:szCs w:val="22"/>
        </w:rPr>
      </w:pPr>
    </w:p>
    <w:p>
      <w:pPr>
        <w:pStyle w:val="3"/>
        <w:jc w:val="both"/>
        <w:rPr>
          <w:rFonts w:ascii="Arial Narrow" w:hAnsi="Arial Narrow" w:cs="Arial Narrow"/>
          <w:sz w:val="22"/>
          <w:szCs w:val="22"/>
        </w:rPr>
      </w:pPr>
      <w:r>
        <w:rPr>
          <w:rFonts w:ascii="Arial Narrow" w:hAnsi="Arial Narrow" w:cs="Arial Narrow"/>
          <w:b w:val="0"/>
          <w:bCs w:val="0"/>
          <w:sz w:val="22"/>
          <w:szCs w:val="22"/>
        </w:rPr>
        <w:t xml:space="preserve">5) </w:t>
      </w:r>
      <w:r>
        <w:rPr>
          <w:rFonts w:ascii="Arial Narrow" w:hAnsi="Arial Narrow" w:cs="Arial Narrow"/>
          <w:bCs w:val="0"/>
          <w:sz w:val="22"/>
          <w:szCs w:val="22"/>
        </w:rPr>
        <w:t xml:space="preserve">Informácie o oprave </w:t>
      </w:r>
      <w:r>
        <w:rPr>
          <w:rFonts w:ascii="Arial Narrow" w:hAnsi="Arial Narrow" w:cs="Arial Narrow"/>
          <w:bCs w:val="0"/>
          <w:sz w:val="22"/>
          <w:szCs w:val="22"/>
          <w:u w:val="single"/>
        </w:rPr>
        <w:t>významných chýb</w:t>
      </w:r>
      <w:r>
        <w:rPr>
          <w:rFonts w:ascii="Arial Narrow" w:hAnsi="Arial Narrow" w:cs="Arial Narrow"/>
          <w:b w:val="0"/>
          <w:bCs w:val="0"/>
          <w:sz w:val="22"/>
          <w:szCs w:val="22"/>
        </w:rPr>
        <w:t xml:space="preserve"> minulých účtovných období účtovaných v bežnom účtovnom období </w:t>
      </w:r>
      <w:r>
        <w:rPr>
          <w:rFonts w:ascii="Arial Narrow" w:hAnsi="Arial Narrow" w:cs="Arial Narrow"/>
          <w:b w:val="0"/>
          <w:bCs w:val="0"/>
          <w:sz w:val="22"/>
          <w:szCs w:val="22"/>
          <w:u w:val="single"/>
        </w:rPr>
        <w:t>s uvedením sumy vplyvu</w:t>
      </w:r>
      <w:r>
        <w:rPr>
          <w:rFonts w:ascii="Arial Narrow" w:hAnsi="Arial Narrow" w:cs="Arial Narrow"/>
          <w:b w:val="0"/>
          <w:bCs w:val="0"/>
          <w:sz w:val="22"/>
          <w:szCs w:val="22"/>
        </w:rPr>
        <w:t xml:space="preserve"> na nerozdelený zisk minulých rokov alebo na neuhradenú stratu minulých rokov. Účtovná jednotka môže uviesť aj informácie o oprave </w:t>
      </w:r>
      <w:r>
        <w:rPr>
          <w:rFonts w:ascii="Arial Narrow" w:hAnsi="Arial Narrow" w:cs="Arial Narrow"/>
          <w:b w:val="0"/>
          <w:bCs w:val="0"/>
          <w:sz w:val="22"/>
          <w:szCs w:val="22"/>
          <w:u w:val="single"/>
        </w:rPr>
        <w:t>nevýznamných chýb</w:t>
      </w:r>
      <w:r>
        <w:rPr>
          <w:rFonts w:ascii="Arial Narrow" w:hAnsi="Arial Narrow" w:cs="Arial Narrow"/>
          <w:b w:val="0"/>
          <w:bCs w:val="0"/>
          <w:sz w:val="22"/>
          <w:szCs w:val="22"/>
        </w:rPr>
        <w:t xml:space="preserve"> minulých účtovných období účtovaných v bežnom účtovnom období s uvedením sumy vplyvu na výsledok hospodárenia bežného účtovného obdobia: </w:t>
      </w:r>
    </w:p>
    <w:tbl>
      <w:tblPr>
        <w:tblStyle w:val="5"/>
        <w:tblW w:w="4942"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3075"/>
        <w:gridCol w:w="1039"/>
        <w:gridCol w:w="1039"/>
        <w:gridCol w:w="1928"/>
        <w:gridCol w:w="252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Opis účtovného prípadu</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Suma</w:t>
            </w:r>
          </w:p>
        </w:tc>
        <w:tc>
          <w:tcPr>
            <w:tcW w:w="541"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MD/DAL</w:t>
            </w:r>
          </w:p>
        </w:tc>
        <w:tc>
          <w:tcPr>
            <w:tcW w:w="1004"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Vplyv na výsledok</w:t>
            </w:r>
          </w:p>
        </w:tc>
        <w:tc>
          <w:tcPr>
            <w:tcW w:w="1312" w:type="pct"/>
            <w:shd w:val="clear" w:color="auto" w:fill="auto"/>
          </w:tcPr>
          <w:p>
            <w:pPr>
              <w:spacing w:after="120"/>
              <w:ind w:right="-471"/>
              <w:rPr>
                <w:rFonts w:ascii="Arial Narrow" w:hAnsi="Arial Narrow" w:cs="Arial Narrow"/>
                <w:b/>
                <w:sz w:val="22"/>
                <w:szCs w:val="22"/>
              </w:rPr>
            </w:pPr>
            <w:r>
              <w:rPr>
                <w:rFonts w:ascii="Arial Narrow" w:hAnsi="Arial Narrow" w:cs="Arial Narrow"/>
                <w:b/>
                <w:sz w:val="22"/>
                <w:szCs w:val="22"/>
              </w:rPr>
              <w:t xml:space="preserve"> Vplyv na vlastné imanie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60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541" w:type="pct"/>
            <w:shd w:val="clear" w:color="auto" w:fill="auto"/>
          </w:tcPr>
          <w:p>
            <w:pPr>
              <w:spacing w:after="120"/>
              <w:ind w:right="-471"/>
              <w:jc w:val="both"/>
              <w:rPr>
                <w:rFonts w:ascii="Arial Narrow" w:hAnsi="Arial Narrow" w:cs="Arial Narrow"/>
                <w:sz w:val="22"/>
                <w:szCs w:val="22"/>
              </w:rPr>
            </w:pPr>
          </w:p>
        </w:tc>
        <w:tc>
          <w:tcPr>
            <w:tcW w:w="1004" w:type="pct"/>
            <w:shd w:val="clear" w:color="auto" w:fill="auto"/>
          </w:tcPr>
          <w:p>
            <w:pPr>
              <w:spacing w:after="120"/>
              <w:ind w:right="-471"/>
              <w:jc w:val="both"/>
              <w:rPr>
                <w:rFonts w:ascii="Arial Narrow" w:hAnsi="Arial Narrow" w:cs="Arial Narrow"/>
                <w:sz w:val="22"/>
                <w:szCs w:val="22"/>
              </w:rPr>
            </w:pPr>
          </w:p>
        </w:tc>
        <w:tc>
          <w:tcPr>
            <w:tcW w:w="1312" w:type="pct"/>
            <w:shd w:val="clear" w:color="auto" w:fill="auto"/>
          </w:tcPr>
          <w:p>
            <w:pPr>
              <w:spacing w:after="120"/>
              <w:ind w:right="-471"/>
              <w:jc w:val="both"/>
              <w:rPr>
                <w:rFonts w:ascii="Arial Narrow" w:hAnsi="Arial Narrow" w:cs="Arial Narrow"/>
                <w:sz w:val="22"/>
                <w:szCs w:val="22"/>
              </w:rPr>
            </w:pPr>
          </w:p>
        </w:tc>
      </w:tr>
    </w:tbl>
    <w:p>
      <w:pPr>
        <w:ind w:right="-468"/>
        <w:jc w:val="both"/>
        <w:rPr>
          <w:rFonts w:ascii="Arial Narrow" w:hAnsi="Arial Narrow" w:cs="Arial Narrow"/>
          <w:sz w:val="22"/>
          <w:szCs w:val="22"/>
        </w:rPr>
      </w:pPr>
    </w:p>
    <w:p>
      <w:pPr>
        <w:jc w:val="both"/>
        <w:rPr>
          <w:rFonts w:ascii="Arial Narrow" w:hAnsi="Arial Narrow" w:cs="Arial Narrow"/>
          <w:sz w:val="22"/>
          <w:szCs w:val="22"/>
        </w:rPr>
      </w:pPr>
    </w:p>
    <w:p>
      <w:pPr>
        <w:ind w:right="-468"/>
        <w:jc w:val="center"/>
        <w:rPr>
          <w:rFonts w:ascii="Arial Narrow" w:hAnsi="Arial Narrow" w:cs="Arial Narrow"/>
          <w:sz w:val="22"/>
          <w:szCs w:val="22"/>
          <w:u w:val="single"/>
        </w:rPr>
      </w:pPr>
      <w:r>
        <w:rPr>
          <w:rFonts w:ascii="Arial Narrow" w:hAnsi="Arial Narrow" w:cs="Arial Narrow"/>
          <w:b/>
          <w:bCs/>
          <w:sz w:val="22"/>
          <w:szCs w:val="22"/>
          <w:u w:val="single"/>
        </w:rPr>
        <w:t>Článok IV – INFORMÁCIE, KTORÉ VYSVETĽUJÚ A DOPĹŇAJÚ SÚVAHU A VÝKAZ ZISKOV A STRÁT</w:t>
      </w:r>
    </w:p>
    <w:p>
      <w:pPr>
        <w:ind w:right="-468"/>
        <w:jc w:val="both"/>
        <w:rPr>
          <w:rFonts w:ascii="Arial Narrow" w:hAnsi="Arial Narrow" w:cs="Arial Narrow"/>
          <w:sz w:val="22"/>
          <w:szCs w:val="22"/>
        </w:rPr>
      </w:pPr>
    </w:p>
    <w:p>
      <w:pPr>
        <w:spacing w:after="120"/>
        <w:ind w:right="-141"/>
        <w:jc w:val="both"/>
        <w:rPr>
          <w:rFonts w:ascii="Arial Narrow" w:hAnsi="Arial Narrow" w:cs="Arial Narrow"/>
          <w:sz w:val="22"/>
          <w:szCs w:val="22"/>
        </w:rPr>
      </w:pPr>
      <w:r>
        <w:rPr>
          <w:rFonts w:ascii="Arial Narrow" w:hAnsi="Arial Narrow" w:cs="Arial Narrow"/>
          <w:sz w:val="22"/>
          <w:szCs w:val="22"/>
        </w:rPr>
        <w:t xml:space="preserve">1) Celková suma </w:t>
      </w:r>
      <w:r>
        <w:rPr>
          <w:rFonts w:ascii="Arial Narrow" w:hAnsi="Arial Narrow" w:cs="Arial Narrow"/>
          <w:sz w:val="22"/>
          <w:szCs w:val="22"/>
          <w:u w:val="single"/>
        </w:rPr>
        <w:t>záväzkov so zostatkovou dobou splatnosti dlhšou ako 5 rokov</w:t>
      </w:r>
      <w:r>
        <w:rPr>
          <w:rFonts w:ascii="Arial Narrow" w:hAnsi="Arial Narrow" w:cs="Arial Narrow"/>
          <w:sz w:val="22"/>
          <w:szCs w:val="22"/>
        </w:rPr>
        <w:t xml:space="preserve">:  </w:t>
      </w:r>
    </w:p>
    <w:tbl>
      <w:tblPr>
        <w:tblStyle w:val="5"/>
        <w:tblW w:w="5000"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785"/>
        <w:gridCol w:w="2553"/>
        <w:gridCol w:w="237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93" w:hRule="atLeast"/>
          <w:jc w:val="center"/>
        </w:trPr>
        <w:tc>
          <w:tcPr>
            <w:tcW w:w="2463" w:type="pct"/>
            <w:vAlign w:val="center"/>
          </w:tcPr>
          <w:p>
            <w:pPr>
              <w:pStyle w:val="21"/>
            </w:pPr>
            <w:r>
              <w:t>Názov položky</w:t>
            </w:r>
          </w:p>
        </w:tc>
        <w:tc>
          <w:tcPr>
            <w:tcW w:w="1314" w:type="pct"/>
            <w:noWrap/>
            <w:vAlign w:val="center"/>
          </w:tcPr>
          <w:p>
            <w:pPr>
              <w:pStyle w:val="21"/>
            </w:pPr>
            <w:r>
              <w:t>Bežné účtovné obdobie</w:t>
            </w:r>
          </w:p>
        </w:tc>
        <w:tc>
          <w:tcPr>
            <w:tcW w:w="1223" w:type="pct"/>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07" w:hRule="atLeast"/>
          <w:jc w:val="center"/>
        </w:trPr>
        <w:tc>
          <w:tcPr>
            <w:tcW w:w="2463" w:type="pct"/>
            <w:vAlign w:val="center"/>
          </w:tcPr>
          <w:p>
            <w:pPr>
              <w:rPr>
                <w:rFonts w:ascii="Arial Narrow" w:hAnsi="Arial Narrow"/>
                <w:sz w:val="22"/>
                <w:szCs w:val="22"/>
              </w:rPr>
            </w:pPr>
            <w:r>
              <w:rPr>
                <w:rFonts w:ascii="Arial Narrow" w:hAnsi="Arial Narrow"/>
                <w:bCs/>
                <w:sz w:val="22"/>
                <w:szCs w:val="22"/>
              </w:rPr>
              <w:t>Záväzky so zostatkovou dobou splatnosti nad 5 rokov</w:t>
            </w:r>
          </w:p>
        </w:tc>
        <w:tc>
          <w:tcPr>
            <w:tcW w:w="1314" w:type="pct"/>
            <w:noWrap/>
            <w:vAlign w:val="center"/>
          </w:tcPr>
          <w:p>
            <w:pPr>
              <w:rPr>
                <w:rFonts w:ascii="Arial Narrow" w:hAnsi="Arial Narrow"/>
                <w:b/>
                <w:bCs/>
                <w:sz w:val="22"/>
                <w:szCs w:val="22"/>
              </w:rPr>
            </w:pPr>
          </w:p>
        </w:tc>
        <w:tc>
          <w:tcPr>
            <w:tcW w:w="1223" w:type="pct"/>
            <w:vAlign w:val="center"/>
          </w:tcPr>
          <w:p>
            <w:pPr>
              <w:rPr>
                <w:rFonts w:ascii="Arial Narrow" w:hAnsi="Arial Narrow"/>
                <w:b/>
                <w:bCs/>
                <w:sz w:val="22"/>
                <w:szCs w:val="22"/>
              </w:rPr>
            </w:pPr>
          </w:p>
        </w:tc>
      </w:tr>
    </w:tbl>
    <w:p>
      <w:pPr>
        <w:spacing w:before="120"/>
        <w:ind w:right="-141"/>
        <w:jc w:val="both"/>
        <w:rPr>
          <w:rFonts w:ascii="Arial Narrow" w:hAnsi="Arial Narrow" w:cs="Arial Narrow"/>
          <w:sz w:val="22"/>
          <w:szCs w:val="22"/>
        </w:rPr>
      </w:pPr>
      <w:r>
        <w:rPr>
          <w:rFonts w:ascii="Arial Narrow" w:hAnsi="Arial Narrow" w:cs="Arial Narrow"/>
          <w:sz w:val="22"/>
          <w:szCs w:val="22"/>
        </w:rPr>
        <w:t>[Vysvetlivky: Zostatková doba splatnosti záväzku alebo jeho časti – je rozdiel medzi dohodnutou dobou splatnosti záväzkov a závierkovým dňom (§ 12 PU).]</w:t>
      </w:r>
    </w:p>
    <w:p>
      <w:pPr>
        <w:ind w:right="-468"/>
        <w:jc w:val="both"/>
        <w:rPr>
          <w:rFonts w:ascii="Arial Narrow" w:hAnsi="Arial Narrow" w:cs="Arial Narrow"/>
          <w:sz w:val="22"/>
          <w:szCs w:val="22"/>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both"/>
        <w:rPr>
          <w:rFonts w:ascii="Arial Narrow" w:hAnsi="Arial Narrow" w:cs="Arial Narrow"/>
          <w:b/>
          <w:sz w:val="22"/>
          <w:szCs w:val="22"/>
          <w:u w:val="single"/>
        </w:rPr>
      </w:pPr>
    </w:p>
    <w:p>
      <w:pPr>
        <w:spacing w:after="120"/>
        <w:ind w:right="-471"/>
        <w:jc w:val="center"/>
        <w:rPr>
          <w:rFonts w:ascii="Arial Narrow" w:hAnsi="Arial Narrow" w:cs="Arial Narrow"/>
          <w:b/>
          <w:bCs/>
          <w:sz w:val="22"/>
          <w:szCs w:val="22"/>
        </w:rPr>
      </w:pPr>
      <w:r>
        <w:rPr>
          <w:rFonts w:ascii="Arial Narrow" w:hAnsi="Arial Narrow" w:cs="Arial Narrow"/>
          <w:b/>
          <w:bCs/>
          <w:sz w:val="22"/>
          <w:szCs w:val="22"/>
        </w:rPr>
        <w:t>Článok V – INFORMÁCIE O INÝCH AKTÍVACH A INÝCH PASÍVACH</w:t>
      </w:r>
    </w:p>
    <w:p>
      <w:pPr>
        <w:jc w:val="both"/>
        <w:rPr>
          <w:rFonts w:ascii="Arial Narrow" w:hAnsi="Arial Narrow" w:cs="Arial Narrow"/>
          <w:b/>
          <w:sz w:val="22"/>
          <w:szCs w:val="22"/>
        </w:rPr>
      </w:pPr>
      <w:r>
        <w:rPr>
          <w:rFonts w:ascii="Arial Narrow" w:hAnsi="Arial Narrow" w:cs="Arial Narrow"/>
          <w:sz w:val="22"/>
          <w:szCs w:val="22"/>
        </w:rPr>
        <w:t xml:space="preserve">1a) </w:t>
      </w:r>
      <w:r>
        <w:rPr>
          <w:rFonts w:ascii="Arial Narrow" w:hAnsi="Arial Narrow" w:cs="Arial Narrow"/>
          <w:b/>
          <w:sz w:val="22"/>
          <w:szCs w:val="22"/>
          <w:u w:val="single"/>
        </w:rPr>
        <w:t>Podmienený majetok</w:t>
      </w:r>
      <w:r>
        <w:rPr>
          <w:rFonts w:ascii="Arial Narrow" w:hAnsi="Arial Narrow" w:cs="Arial Narrow"/>
          <w:sz w:val="22"/>
          <w:szCs w:val="22"/>
        </w:rPr>
        <w:t xml:space="preserve"> – </w:t>
      </w:r>
      <w:r>
        <w:rPr>
          <w:rFonts w:ascii="Arial Narrow" w:hAnsi="Arial Narrow" w:cs="Arial Narrow"/>
          <w:b/>
          <w:sz w:val="22"/>
          <w:szCs w:val="22"/>
        </w:rPr>
        <w:t>ž</w:t>
      </w:r>
      <w:r>
        <w:rPr>
          <w:rFonts w:ascii="Arial Narrow" w:hAnsi="Arial Narrow" w:cs="Arial Narrow"/>
          <w:sz w:val="22"/>
          <w:szCs w:val="22"/>
        </w:rPr>
        <w:t>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1b) </w:t>
      </w:r>
      <w:r>
        <w:rPr>
          <w:rFonts w:ascii="Arial Narrow" w:hAnsi="Arial Narrow" w:cs="Arial Narrow"/>
          <w:b/>
          <w:sz w:val="22"/>
          <w:szCs w:val="22"/>
          <w:u w:val="single"/>
        </w:rPr>
        <w:t>Podmienené záväzky</w:t>
      </w:r>
      <w:r>
        <w:rPr>
          <w:rFonts w:ascii="Arial Narrow" w:hAnsi="Arial Narrow" w:cs="Arial Narrow"/>
          <w:sz w:val="22"/>
          <w:szCs w:val="22"/>
        </w:rPr>
        <w:t xml:space="preserve"> – žiadne</w:t>
      </w:r>
    </w:p>
    <w:p>
      <w:pPr>
        <w:jc w:val="both"/>
        <w:rPr>
          <w:rFonts w:ascii="Arial Narrow" w:hAnsi="Arial Narrow" w:cs="Arial Narrow"/>
          <w:sz w:val="22"/>
          <w:szCs w:val="22"/>
        </w:rPr>
      </w:pPr>
    </w:p>
    <w:p>
      <w:pPr>
        <w:jc w:val="both"/>
        <w:rPr>
          <w:rFonts w:ascii="Arial Narrow" w:hAnsi="Arial Narrow" w:cs="Arial Narrow"/>
          <w:sz w:val="22"/>
          <w:szCs w:val="22"/>
        </w:rPr>
      </w:pPr>
      <w:r>
        <w:rPr>
          <w:rFonts w:ascii="Arial Narrow" w:hAnsi="Arial Narrow" w:cs="Arial Narrow"/>
          <w:sz w:val="22"/>
          <w:szCs w:val="22"/>
        </w:rPr>
        <w:t xml:space="preserve">2) </w:t>
      </w:r>
      <w:r>
        <w:rPr>
          <w:rFonts w:ascii="Arial Narrow" w:hAnsi="Arial Narrow" w:cs="Arial Narrow"/>
          <w:b/>
          <w:sz w:val="22"/>
          <w:szCs w:val="22"/>
          <w:u w:val="single"/>
        </w:rPr>
        <w:t>Ostatné finančné povinnosti</w:t>
      </w:r>
      <w:r>
        <w:rPr>
          <w:rFonts w:ascii="Arial Narrow" w:hAnsi="Arial Narrow" w:cs="Arial Narrow"/>
          <w:sz w:val="22"/>
          <w:szCs w:val="22"/>
        </w:rPr>
        <w:t>, ktoré sa nevykazujú v účtovných výkazoch - napríklad zákonná povinnosť alebo zmluvná povinnosť odobrať určité množstvo produktu, uskutočniť investície a veľké opravy: žiadne</w:t>
      </w:r>
    </w:p>
    <w:p>
      <w:pPr>
        <w:jc w:val="both"/>
        <w:rPr>
          <w:rFonts w:ascii="Arial Narrow" w:hAnsi="Arial Narrow" w:cs="Arial Narrow"/>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 xml:space="preserve">3) </w:t>
      </w:r>
      <w:r>
        <w:rPr>
          <w:rFonts w:ascii="Arial Narrow" w:hAnsi="Arial Narrow" w:cs="Arial Narrow"/>
          <w:b/>
          <w:sz w:val="22"/>
          <w:szCs w:val="22"/>
          <w:u w:val="single"/>
        </w:rPr>
        <w:t>Podsúvahové účty</w:t>
      </w:r>
      <w:r>
        <w:rPr>
          <w:rFonts w:ascii="Arial Narrow" w:hAnsi="Arial Narrow" w:cs="Arial Narrow"/>
          <w:sz w:val="22"/>
          <w:szCs w:val="22"/>
        </w:rPr>
        <w:t xml:space="preserve"> – uvádzajú sa informácie o významných položkách sledovaných na podsúvahových účtoch (§ 85 PU):</w:t>
      </w:r>
    </w:p>
    <w:tbl>
      <w:tblPr>
        <w:tblStyle w:val="5"/>
        <w:tblW w:w="4944"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311"/>
        <w:gridCol w:w="1701"/>
        <w:gridCol w:w="159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80" w:hRule="atLeast"/>
          <w:jc w:val="center"/>
        </w:trPr>
        <w:tc>
          <w:tcPr>
            <w:tcW w:w="0" w:type="auto"/>
            <w:noWrap/>
            <w:vAlign w:val="center"/>
          </w:tcPr>
          <w:p>
            <w:pPr>
              <w:pStyle w:val="21"/>
            </w:pPr>
            <w:r>
              <w:t>Názov podsúvahovej položky</w:t>
            </w:r>
          </w:p>
        </w:tc>
        <w:tc>
          <w:tcPr>
            <w:tcW w:w="1701" w:type="dxa"/>
            <w:noWrap/>
            <w:vAlign w:val="center"/>
          </w:tcPr>
          <w:p>
            <w:pPr>
              <w:pStyle w:val="21"/>
            </w:pPr>
            <w:r>
              <w:t>Bežné účtovné obdobie</w:t>
            </w:r>
          </w:p>
        </w:tc>
        <w:tc>
          <w:tcPr>
            <w:tcW w:w="1593" w:type="dxa"/>
            <w:vAlign w:val="center"/>
          </w:tcPr>
          <w:p>
            <w:pPr>
              <w:pStyle w:val="21"/>
            </w:pPr>
            <w:r>
              <w:t>Bezprostredne predchádzajúce účtovné obdobie</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67" w:hRule="atLeast"/>
          <w:jc w:val="center"/>
        </w:trPr>
        <w:tc>
          <w:tcPr>
            <w:tcW w:w="0" w:type="auto"/>
            <w:noWrap/>
            <w:vAlign w:val="center"/>
          </w:tcPr>
          <w:p>
            <w:pPr>
              <w:rPr>
                <w:rFonts w:ascii="Arial Narrow" w:hAnsi="Arial Narrow"/>
                <w:sz w:val="22"/>
                <w:szCs w:val="22"/>
              </w:rPr>
            </w:pPr>
            <w:r>
              <w:rPr>
                <w:rFonts w:ascii="Arial Narrow" w:hAnsi="Arial Narrow"/>
                <w:sz w:val="22"/>
                <w:szCs w:val="22"/>
              </w:rPr>
              <w:t>Prenajatý majetok</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4" w:hRule="atLeast"/>
          <w:jc w:val="center"/>
        </w:trPr>
        <w:tc>
          <w:tcPr>
            <w:tcW w:w="0" w:type="auto"/>
            <w:noWrap/>
            <w:vAlign w:val="center"/>
          </w:tcPr>
          <w:p>
            <w:pPr>
              <w:rPr>
                <w:rFonts w:ascii="Arial Narrow" w:hAnsi="Arial Narrow"/>
                <w:sz w:val="22"/>
                <w:szCs w:val="22"/>
              </w:rPr>
            </w:pPr>
            <w:r>
              <w:rPr>
                <w:rFonts w:ascii="Arial Narrow" w:hAnsi="Arial Narrow"/>
                <w:sz w:val="22"/>
                <w:szCs w:val="22"/>
              </w:rPr>
              <w:t>Majetok prijatý do úschovy</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Pohľadávky z opcií</w:t>
            </w:r>
          </w:p>
        </w:tc>
        <w:tc>
          <w:tcPr>
            <w:tcW w:w="1701" w:type="dxa"/>
            <w:noWrap/>
            <w:vAlign w:val="center"/>
          </w:tcPr>
          <w:p>
            <w:pPr>
              <w:rPr>
                <w:rFonts w:ascii="Arial Narrow" w:hAnsi="Arial Narrow"/>
                <w:sz w:val="22"/>
                <w:szCs w:val="22"/>
              </w:rPr>
            </w:pPr>
            <w:r>
              <w:rPr>
                <w:rFonts w:ascii="Arial Narrow" w:hAnsi="Arial Narrow"/>
                <w:sz w:val="22"/>
                <w:szCs w:val="22"/>
              </w:rPr>
              <w:t> </w:t>
            </w:r>
          </w:p>
        </w:tc>
        <w:tc>
          <w:tcPr>
            <w:tcW w:w="1593" w:type="dxa"/>
            <w:noWrap/>
            <w:vAlign w:val="center"/>
          </w:tcPr>
          <w:p>
            <w:pPr>
              <w:rPr>
                <w:rFonts w:ascii="Arial Narrow" w:hAnsi="Arial Narrow"/>
                <w:sz w:val="22"/>
                <w:szCs w:val="22"/>
              </w:rPr>
            </w:pPr>
            <w:r>
              <w:rPr>
                <w:rFonts w:ascii="Arial Narrow" w:hAnsi="Arial Narrow"/>
                <w:sz w:val="22"/>
                <w:szCs w:val="22"/>
              </w:rPr>
              <w:t> </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Záväzky z opcií</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Odpísané pohľadávky</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1" w:hRule="atLeast"/>
          <w:jc w:val="center"/>
        </w:trPr>
        <w:tc>
          <w:tcPr>
            <w:tcW w:w="0" w:type="auto"/>
            <w:noWrap/>
            <w:vAlign w:val="center"/>
          </w:tcPr>
          <w:p>
            <w:pPr>
              <w:rPr>
                <w:rFonts w:ascii="Arial Narrow" w:hAnsi="Arial Narrow"/>
                <w:sz w:val="22"/>
                <w:szCs w:val="22"/>
              </w:rPr>
            </w:pPr>
            <w:r>
              <w:rPr>
                <w:rFonts w:ascii="Arial Narrow" w:hAnsi="Arial Narrow"/>
                <w:sz w:val="22"/>
                <w:szCs w:val="22"/>
              </w:rPr>
              <w:t>Iné ............................</w:t>
            </w:r>
          </w:p>
        </w:tc>
        <w:tc>
          <w:tcPr>
            <w:tcW w:w="1701" w:type="dxa"/>
            <w:noWrap/>
            <w:vAlign w:val="center"/>
          </w:tcPr>
          <w:p>
            <w:pPr>
              <w:rPr>
                <w:rFonts w:ascii="Arial Narrow" w:hAnsi="Arial Narrow"/>
                <w:sz w:val="22"/>
                <w:szCs w:val="22"/>
              </w:rPr>
            </w:pPr>
          </w:p>
        </w:tc>
        <w:tc>
          <w:tcPr>
            <w:tcW w:w="1593" w:type="dxa"/>
            <w:noWrap/>
            <w:vAlign w:val="center"/>
          </w:tcPr>
          <w:p>
            <w:pPr>
              <w:rPr>
                <w:rFonts w:ascii="Arial Narrow" w:hAnsi="Arial Narrow"/>
                <w:sz w:val="22"/>
                <w:szCs w:val="22"/>
              </w:rPr>
            </w:pPr>
          </w:p>
        </w:tc>
      </w:tr>
    </w:tbl>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 – UDALOSTI, KTORÉ NASTALI PO ZÁVIERKOVOM DNI</w:t>
      </w:r>
    </w:p>
    <w:p>
      <w:pPr>
        <w:ind w:right="-468"/>
        <w:jc w:val="center"/>
        <w:rPr>
          <w:rFonts w:ascii="Arial Narrow" w:hAnsi="Arial Narrow" w:cs="Arial Narrow"/>
          <w:b/>
          <w:bCs/>
          <w:sz w:val="22"/>
          <w:szCs w:val="22"/>
        </w:rPr>
      </w:pPr>
      <w:r>
        <w:rPr>
          <w:rFonts w:ascii="Arial Narrow" w:hAnsi="Arial Narrow" w:cs="Arial Narrow"/>
          <w:b/>
          <w:bCs/>
          <w:sz w:val="22"/>
          <w:szCs w:val="22"/>
        </w:rPr>
        <w:t>(Následné udalosti)</w:t>
      </w:r>
    </w:p>
    <w:p>
      <w:pPr>
        <w:ind w:right="-468"/>
        <w:jc w:val="center"/>
        <w:rPr>
          <w:rFonts w:ascii="Arial Narrow" w:hAnsi="Arial Narrow" w:cs="Arial Narrow"/>
          <w:b/>
          <w:bCs/>
          <w:sz w:val="22"/>
          <w:szCs w:val="22"/>
        </w:rPr>
      </w:pPr>
    </w:p>
    <w:p>
      <w:pPr>
        <w:spacing w:after="120"/>
        <w:jc w:val="both"/>
        <w:rPr>
          <w:rFonts w:ascii="Arial Narrow" w:hAnsi="Arial Narrow" w:cs="Arial Narrow"/>
          <w:sz w:val="22"/>
          <w:szCs w:val="22"/>
        </w:rPr>
      </w:pPr>
      <w:r>
        <w:rPr>
          <w:rFonts w:ascii="Arial Narrow" w:hAnsi="Arial Narrow" w:cs="Arial Narrow"/>
          <w:sz w:val="22"/>
          <w:szCs w:val="22"/>
        </w:rPr>
        <w:t>Spoločnosť prehlasuje, že si nie je vedomá, že by po závierkovom dni do času zostavenia účtovnej závierky nastali významné udalosti, ktoré by mali významný finančný vplyv (t.j. do dňa podpísania výkazov podľa § 17/5 ZoU) a ktoré nie sú zohľadnené v súvahe alebo vo výkaze ziskov a strát.</w:t>
      </w:r>
    </w:p>
    <w:p>
      <w:pPr>
        <w:jc w:val="both"/>
        <w:rPr>
          <w:rFonts w:ascii="Arial Narrow" w:hAnsi="Arial Narrow" w:cs="Arial Narrow"/>
          <w:sz w:val="22"/>
          <w:szCs w:val="22"/>
        </w:rPr>
      </w:pPr>
      <w:r>
        <w:rPr>
          <w:rFonts w:ascii="Arial Narrow" w:hAnsi="Arial Narrow" w:cs="Arial Narrow"/>
          <w:sz w:val="22"/>
          <w:szCs w:val="22"/>
        </w:rPr>
        <w:t xml:space="preserve">a) Pokles alebo zvýšenie trhovej ceny finančného majetku </w:t>
      </w:r>
    </w:p>
    <w:p>
      <w:pPr>
        <w:jc w:val="both"/>
        <w:rPr>
          <w:rFonts w:ascii="Arial Narrow" w:hAnsi="Arial Narrow" w:cs="Arial Narrow"/>
          <w:sz w:val="22"/>
          <w:szCs w:val="22"/>
        </w:rPr>
      </w:pPr>
      <w:r>
        <w:rPr>
          <w:rFonts w:ascii="Arial Narrow" w:hAnsi="Arial Narrow" w:cs="Arial Narrow"/>
          <w:sz w:val="22"/>
          <w:szCs w:val="22"/>
        </w:rPr>
        <w:t xml:space="preserve">b) Dôvody pre zmenu výšky rezerv a opravných položiek, </w:t>
      </w:r>
    </w:p>
    <w:p>
      <w:pPr>
        <w:jc w:val="both"/>
        <w:rPr>
          <w:rFonts w:ascii="Arial Narrow" w:hAnsi="Arial Narrow" w:cs="Arial Narrow"/>
          <w:sz w:val="22"/>
          <w:szCs w:val="22"/>
        </w:rPr>
      </w:pPr>
      <w:r>
        <w:rPr>
          <w:rFonts w:ascii="Arial Narrow" w:hAnsi="Arial Narrow" w:cs="Arial Narrow"/>
          <w:sz w:val="22"/>
          <w:szCs w:val="22"/>
        </w:rPr>
        <w:t xml:space="preserve">c) Zmena spoločníkov účtovnej jednotky: </w:t>
      </w:r>
    </w:p>
    <w:p>
      <w:pPr>
        <w:jc w:val="both"/>
        <w:rPr>
          <w:rFonts w:ascii="Arial Narrow" w:hAnsi="Arial Narrow" w:cs="Arial Narrow"/>
          <w:sz w:val="22"/>
          <w:szCs w:val="22"/>
        </w:rPr>
      </w:pPr>
      <w:r>
        <w:rPr>
          <w:rFonts w:ascii="Arial Narrow" w:hAnsi="Arial Narrow" w:cs="Arial Narrow"/>
          <w:sz w:val="22"/>
          <w:szCs w:val="22"/>
        </w:rPr>
        <w:t>d) Prijaté rozhodnutia o predaji účtovnej jednotky alebo jej časti:</w:t>
      </w:r>
    </w:p>
    <w:p>
      <w:pPr>
        <w:jc w:val="both"/>
        <w:rPr>
          <w:rFonts w:ascii="Arial Narrow" w:hAnsi="Arial Narrow" w:cs="Arial Narrow"/>
          <w:sz w:val="22"/>
          <w:szCs w:val="22"/>
        </w:rPr>
      </w:pPr>
      <w:r>
        <w:rPr>
          <w:rFonts w:ascii="Arial Narrow" w:hAnsi="Arial Narrow" w:cs="Arial Narrow"/>
          <w:sz w:val="22"/>
          <w:szCs w:val="22"/>
        </w:rPr>
        <w:t>e) Zmeny významných položiek dlhodobého finančného majetku:</w:t>
      </w:r>
    </w:p>
    <w:p>
      <w:pPr>
        <w:jc w:val="both"/>
        <w:rPr>
          <w:rFonts w:ascii="Arial Narrow" w:hAnsi="Arial Narrow" w:cs="Arial Narrow"/>
          <w:sz w:val="22"/>
          <w:szCs w:val="22"/>
        </w:rPr>
      </w:pPr>
      <w:r>
        <w:rPr>
          <w:rFonts w:ascii="Arial Narrow" w:hAnsi="Arial Narrow" w:cs="Arial Narrow"/>
          <w:sz w:val="22"/>
          <w:szCs w:val="22"/>
        </w:rPr>
        <w:t xml:space="preserve">f) Začatie alebo ukončenie činnosti časti účtovnej jednotky, napríklad odštepného závodu, organizačnej zložky, prevádzkarne: </w:t>
      </w:r>
    </w:p>
    <w:p>
      <w:pPr>
        <w:jc w:val="both"/>
        <w:rPr>
          <w:rFonts w:ascii="Arial Narrow" w:hAnsi="Arial Narrow" w:cs="Arial Narrow"/>
          <w:sz w:val="22"/>
          <w:szCs w:val="22"/>
        </w:rPr>
      </w:pPr>
      <w:r>
        <w:rPr>
          <w:rFonts w:ascii="Arial Narrow" w:hAnsi="Arial Narrow" w:cs="Arial Narrow"/>
          <w:sz w:val="22"/>
          <w:szCs w:val="22"/>
        </w:rPr>
        <w:t xml:space="preserve">g) Vydané dlhopisy a iné cenné papiere: </w:t>
      </w:r>
    </w:p>
    <w:p>
      <w:pPr>
        <w:jc w:val="both"/>
        <w:rPr>
          <w:rFonts w:ascii="Arial Narrow" w:hAnsi="Arial Narrow" w:cs="Arial Narrow"/>
          <w:sz w:val="22"/>
          <w:szCs w:val="22"/>
        </w:rPr>
      </w:pPr>
      <w:r>
        <w:rPr>
          <w:rFonts w:ascii="Arial Narrow" w:hAnsi="Arial Narrow" w:cs="Arial Narrow"/>
          <w:sz w:val="22"/>
          <w:szCs w:val="22"/>
        </w:rPr>
        <w:t xml:space="preserve">h) Zlúčenie, splynutie, rozdelenie a zmena právnej formy účtovnej jednotky: </w:t>
      </w:r>
    </w:p>
    <w:p>
      <w:pPr>
        <w:jc w:val="both"/>
        <w:rPr>
          <w:rFonts w:ascii="Arial Narrow" w:hAnsi="Arial Narrow" w:cs="Arial Narrow"/>
          <w:sz w:val="22"/>
          <w:szCs w:val="22"/>
        </w:rPr>
      </w:pPr>
      <w:r>
        <w:rPr>
          <w:rFonts w:ascii="Arial Narrow" w:hAnsi="Arial Narrow" w:cs="Arial Narrow"/>
          <w:sz w:val="22"/>
          <w:szCs w:val="22"/>
        </w:rPr>
        <w:t xml:space="preserve">i) Mimoriadne udalosti, ak majú vplyv na hospodárenie účtovnej jednotky, napr. živelná pohroma: </w:t>
      </w:r>
    </w:p>
    <w:p>
      <w:pPr>
        <w:jc w:val="both"/>
        <w:rPr>
          <w:rFonts w:ascii="Arial Narrow" w:hAnsi="Arial Narrow" w:cs="Arial Narrow"/>
          <w:sz w:val="22"/>
          <w:szCs w:val="22"/>
        </w:rPr>
      </w:pPr>
      <w:r>
        <w:rPr>
          <w:rFonts w:ascii="Arial Narrow" w:hAnsi="Arial Narrow" w:cs="Arial Narrow"/>
          <w:sz w:val="22"/>
          <w:szCs w:val="22"/>
        </w:rPr>
        <w:t>j) Získanie alebo odobratie licencií alebo iných povolení významných pre činnosť účtovnej jednotky:</w:t>
      </w:r>
    </w:p>
    <w:p>
      <w:pPr>
        <w:jc w:val="both"/>
        <w:rPr>
          <w:rFonts w:ascii="Arial Narrow" w:hAnsi="Arial Narrow" w:cs="Arial Narrow"/>
          <w:sz w:val="22"/>
          <w:szCs w:val="22"/>
        </w:rPr>
      </w:pPr>
    </w:p>
    <w:p>
      <w:pPr>
        <w:ind w:right="-468"/>
        <w:jc w:val="center"/>
        <w:rPr>
          <w:rFonts w:ascii="Arial Narrow" w:hAnsi="Arial Narrow" w:cs="Arial Narrow"/>
          <w:b/>
          <w:bCs/>
          <w:sz w:val="22"/>
          <w:szCs w:val="22"/>
        </w:rPr>
      </w:pPr>
    </w:p>
    <w:p>
      <w:pPr>
        <w:ind w:right="-468"/>
        <w:jc w:val="center"/>
        <w:rPr>
          <w:rFonts w:ascii="Arial Narrow" w:hAnsi="Arial Narrow" w:cs="Arial Narrow"/>
          <w:b/>
          <w:bCs/>
          <w:sz w:val="22"/>
          <w:szCs w:val="22"/>
        </w:rPr>
      </w:pPr>
      <w:r>
        <w:rPr>
          <w:rFonts w:ascii="Arial Narrow" w:hAnsi="Arial Narrow" w:cs="Arial Narrow"/>
          <w:b/>
          <w:bCs/>
          <w:sz w:val="22"/>
          <w:szCs w:val="22"/>
        </w:rPr>
        <w:t>Článok VII – OSTATNÉ INFORMÁCIE</w:t>
      </w:r>
    </w:p>
    <w:p>
      <w:pPr>
        <w:ind w:right="-468"/>
        <w:jc w:val="both"/>
        <w:rPr>
          <w:rFonts w:ascii="Arial Narrow" w:hAnsi="Arial Narrow" w:cs="Arial Narrow"/>
          <w:b/>
          <w:bCs/>
          <w:sz w:val="22"/>
          <w:szCs w:val="22"/>
        </w:rPr>
      </w:pPr>
    </w:p>
    <w:p>
      <w:pPr>
        <w:spacing w:after="120"/>
        <w:ind w:right="-471"/>
        <w:jc w:val="both"/>
        <w:rPr>
          <w:rFonts w:ascii="Arial Narrow" w:hAnsi="Arial Narrow" w:cs="Arial Narrow"/>
          <w:bCs/>
          <w:sz w:val="22"/>
          <w:szCs w:val="22"/>
        </w:rPr>
      </w:pPr>
      <w:r>
        <w:rPr>
          <w:rFonts w:ascii="Arial Narrow" w:hAnsi="Arial Narrow" w:cs="Arial Narrow"/>
          <w:bCs/>
          <w:sz w:val="22"/>
          <w:szCs w:val="22"/>
        </w:rPr>
        <w:t>1) Informácie o výlučnom práve poskytovať služby vo verejnom záujme: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2) Informácie o osobitnej kategórii priemyselnej výroby (§ 23d/6 ZoU): NIE</w:t>
      </w:r>
    </w:p>
    <w:p>
      <w:pPr>
        <w:spacing w:after="120"/>
        <w:ind w:right="-471"/>
        <w:jc w:val="both"/>
        <w:rPr>
          <w:rFonts w:ascii="Arial Narrow" w:hAnsi="Arial Narrow" w:cs="Arial Narrow"/>
          <w:bCs/>
          <w:sz w:val="22"/>
          <w:szCs w:val="22"/>
        </w:rPr>
      </w:pPr>
      <w:r>
        <w:rPr>
          <w:rFonts w:ascii="Arial Narrow" w:hAnsi="Arial Narrow" w:cs="Arial Narrow"/>
          <w:bCs/>
          <w:sz w:val="22"/>
          <w:szCs w:val="22"/>
        </w:rPr>
        <w:t>3) Informácie o finančných vzťahoch s orgánmi verejnej moci (§ 23d/6 ZoU): NIE</w:t>
      </w:r>
    </w:p>
    <w:sectPr>
      <w:headerReference r:id="rId4" w:type="first"/>
      <w:headerReference r:id="rId3" w:type="default"/>
      <w:footerReference r:id="rId5" w:type="default"/>
      <w:pgSz w:w="11907" w:h="16840"/>
      <w:pgMar w:top="1417" w:right="992" w:bottom="1417" w:left="1417" w:header="567" w:footer="567" w:gutter="0"/>
      <w:cols w:space="708"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default"/>
    <w:sig w:usb0="E0002EFF" w:usb1="C000785B" w:usb2="00000009" w:usb3="00000000" w:csb0="400001FF" w:csb1="FFFF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EE"/>
    <w:family w:val="roman"/>
    <w:pitch w:val="default"/>
    <w:sig w:usb0="E00006FF" w:usb1="420024FF" w:usb2="02000000" w:usb3="00000000" w:csb0="2000019F" w:csb1="00000000"/>
  </w:font>
  <w:font w:name="Arial Narrow">
    <w:panose1 w:val="020B0606020202030204"/>
    <w:charset w:val="EE"/>
    <w:family w:val="swiss"/>
    <w:pitch w:val="default"/>
    <w:sig w:usb0="00000287" w:usb1="00000800" w:usb2="00000000" w:usb3="00000000" w:csb0="2000009F" w:csb1="DFD70000"/>
  </w:font>
  <w:font w:name="Calibri">
    <w:panose1 w:val="020F0502020204030204"/>
    <w:charset w:val="EE"/>
    <w:family w:val="swiss"/>
    <w:pitch w:val="default"/>
    <w:sig w:usb0="E4002EFF" w:usb1="C000247B" w:usb2="00000009" w:usb3="00000000" w:csb0="200001FF" w:csb1="00000000"/>
  </w:font>
  <w:font w:name="Segoe UI">
    <w:panose1 w:val="020B0502040204020203"/>
    <w:charset w:val="EE"/>
    <w:family w:val="swiss"/>
    <w:pitch w:val="default"/>
    <w:sig w:usb0="E4002EFF" w:usb1="C000E47F" w:usb2="00000009" w:usb3="00000000" w:csb0="200001FF" w:csb1="00000000"/>
  </w:font>
  <w:font w:name="Courier New">
    <w:panose1 w:val="02070309020205020404"/>
    <w:charset w:val="EE"/>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Arial">
    <w:panose1 w:val="020B0604020202020204"/>
    <w:charset w:val="EE"/>
    <w:family w:val="swiss"/>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8"/>
      <w:jc w:val="right"/>
    </w:pPr>
    <w:r>
      <w:fldChar w:fldCharType="begin"/>
    </w:r>
    <w:r>
      <w:instrText xml:space="preserve">PAGE   \* MERGEFORMAT</w:instrText>
    </w:r>
    <w:r>
      <w:fldChar w:fldCharType="separate"/>
    </w:r>
    <w:r>
      <w:t>2</w:t>
    </w:r>
    <w:r>
      <w:fldChar w:fldCharType="end"/>
    </w:r>
  </w:p>
  <w:p>
    <w:pPr>
      <w:pStyle w:val="8"/>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tabs>
        <w:tab w:val="left" w:pos="2990"/>
        <w:tab w:val="left" w:pos="6348"/>
      </w:tabs>
      <w:ind w:left="0" w:firstLine="0"/>
      <w:rPr>
        <w:rFonts w:ascii="Arial" w:hAnsi="Arial" w:cs="Arial"/>
        <w:sz w:val="22"/>
        <w:szCs w:val="22"/>
      </w:rPr>
    </w:pPr>
    <w:r>
      <w:rPr>
        <w:rFonts w:ascii="Arial" w:hAnsi="Arial" w:cs="Arial"/>
        <w:sz w:val="22"/>
        <w:szCs w:val="22"/>
        <w:bdr w:val="single" w:color="auto" w:sz="4" w:space="0"/>
        <w:lang w:val="sk-SK"/>
      </w:rPr>
      <w:t>Po</w:t>
    </w:r>
    <w:r>
      <w:rPr>
        <w:rFonts w:ascii="Arial" w:hAnsi="Arial" w:cs="Arial"/>
        <w:spacing w:val="1"/>
        <w:sz w:val="22"/>
        <w:szCs w:val="22"/>
        <w:bdr w:val="single" w:color="auto" w:sz="4" w:space="0"/>
        <w:lang w:val="sk-SK"/>
      </w:rPr>
      <w:t>z</w:t>
    </w:r>
    <w:r>
      <w:rPr>
        <w:rFonts w:ascii="Arial" w:hAnsi="Arial" w:cs="Arial"/>
        <w:sz w:val="22"/>
        <w:szCs w:val="22"/>
        <w:bdr w:val="single" w:color="auto" w:sz="4" w:space="0"/>
        <w:lang w:val="sk-SK"/>
      </w:rPr>
      <w:t>n</w:t>
    </w:r>
    <w:r>
      <w:rPr>
        <w:rFonts w:ascii="Arial" w:hAnsi="Arial" w:cs="Arial"/>
        <w:spacing w:val="-1"/>
        <w:sz w:val="22"/>
        <w:szCs w:val="22"/>
        <w:bdr w:val="single" w:color="auto" w:sz="4" w:space="0"/>
        <w:lang w:val="sk-SK"/>
      </w:rPr>
      <w:t>á</w:t>
    </w:r>
    <w:r>
      <w:rPr>
        <w:rFonts w:ascii="Arial" w:hAnsi="Arial" w:cs="Arial"/>
        <w:sz w:val="22"/>
        <w:szCs w:val="22"/>
        <w:bdr w:val="single" w:color="auto" w:sz="4" w:space="0"/>
        <w:lang w:val="sk-SK"/>
      </w:rPr>
      <w:t>m</w:t>
    </w:r>
    <w:r>
      <w:rPr>
        <w:rFonts w:ascii="Arial" w:hAnsi="Arial" w:cs="Arial"/>
        <w:spacing w:val="2"/>
        <w:sz w:val="22"/>
        <w:szCs w:val="22"/>
        <w:bdr w:val="single" w:color="auto" w:sz="4" w:space="0"/>
        <w:lang w:val="sk-SK"/>
      </w:rPr>
      <w:t>k</w:t>
    </w:r>
    <w:r>
      <w:rPr>
        <w:rFonts w:ascii="Arial" w:hAnsi="Arial" w:cs="Arial"/>
        <w:sz w:val="22"/>
        <w:szCs w:val="22"/>
        <w:bdr w:val="single" w:color="auto" w:sz="4" w:space="0"/>
        <w:lang w:val="sk-SK"/>
      </w:rPr>
      <w:t>y</w:t>
    </w:r>
    <w:r>
      <w:rPr>
        <w:rFonts w:ascii="Arial" w:hAnsi="Arial" w:cs="Arial"/>
        <w:spacing w:val="-8"/>
        <w:sz w:val="22"/>
        <w:szCs w:val="22"/>
        <w:bdr w:val="single" w:color="auto" w:sz="4" w:space="0"/>
        <w:lang w:val="sk-SK"/>
      </w:rPr>
      <w:t xml:space="preserve"> </w:t>
    </w:r>
    <w:r>
      <w:rPr>
        <w:rFonts w:ascii="Arial" w:hAnsi="Arial" w:cs="Arial"/>
        <w:spacing w:val="1"/>
        <w:sz w:val="22"/>
        <w:szCs w:val="22"/>
        <w:bdr w:val="single" w:color="auto" w:sz="4" w:space="0"/>
        <w:lang w:val="sk-SK"/>
      </w:rPr>
      <w:t>Ú</w:t>
    </w:r>
    <w:r>
      <w:rPr>
        <w:rFonts w:ascii="Arial" w:hAnsi="Arial" w:cs="Arial"/>
        <w:sz w:val="22"/>
        <w:szCs w:val="22"/>
        <w:bdr w:val="single" w:color="auto" w:sz="4" w:space="0"/>
        <w:lang w:val="sk-SK"/>
      </w:rPr>
      <w:t>č</w:t>
    </w:r>
    <w:r>
      <w:rPr>
        <w:rFonts w:ascii="Arial" w:hAnsi="Arial" w:cs="Arial"/>
        <w:sz w:val="22"/>
        <w:szCs w:val="22"/>
        <w:bdr w:val="single" w:color="auto" w:sz="4" w:space="0"/>
      </w:rPr>
      <w:t xml:space="preserve"> POD 3 –</w:t>
    </w:r>
    <w:r>
      <w:rPr>
        <w:rFonts w:ascii="Arial" w:hAnsi="Arial" w:cs="Arial"/>
        <w:spacing w:val="-1"/>
        <w:sz w:val="22"/>
        <w:szCs w:val="22"/>
        <w:bdr w:val="single" w:color="auto" w:sz="4" w:space="0"/>
      </w:rPr>
      <w:t xml:space="preserve"> </w:t>
    </w:r>
    <w:r>
      <w:rPr>
        <w:rFonts w:ascii="Arial" w:hAnsi="Arial" w:cs="Arial"/>
        <w:sz w:val="22"/>
        <w:szCs w:val="22"/>
        <w:bdr w:val="single" w:color="auto" w:sz="4" w:space="0"/>
      </w:rPr>
      <w:t>01</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6"/>
        <w:sz w:val="22"/>
        <w:szCs w:val="22"/>
        <w:bdr w:val="single" w:color="auto" w:sz="4" w:space="0"/>
      </w:rPr>
      <w:t>I</w:t>
    </w:r>
    <w:r>
      <w:rPr>
        <w:rFonts w:ascii="Arial" w:hAnsi="Arial" w:cs="Arial"/>
        <w:sz w:val="22"/>
        <w:szCs w:val="22"/>
        <w:bdr w:val="single" w:color="auto" w:sz="4" w:space="0"/>
      </w:rPr>
      <w:t xml:space="preserve">ČO: 46651187     </w:t>
    </w:r>
    <w:r>
      <w:rPr>
        <w:rFonts w:ascii="Arial" w:hAnsi="Arial" w:cs="Arial"/>
        <w:sz w:val="22"/>
        <w:szCs w:val="22"/>
      </w:rPr>
      <w:t xml:space="preserve"> </w:t>
    </w:r>
    <w:r>
      <w:rPr>
        <w:rFonts w:ascii="Arial" w:hAnsi="Arial" w:cs="Arial"/>
        <w:sz w:val="22"/>
        <w:szCs w:val="22"/>
        <w:bdr w:val="single" w:color="auto" w:sz="4" w:space="0"/>
      </w:rPr>
      <w:t xml:space="preserve"> </w:t>
    </w:r>
    <w:r>
      <w:rPr>
        <w:rFonts w:ascii="Arial" w:hAnsi="Arial" w:cs="Arial"/>
        <w:spacing w:val="1"/>
        <w:sz w:val="22"/>
        <w:szCs w:val="22"/>
        <w:bdr w:val="single" w:color="auto" w:sz="4" w:space="0"/>
      </w:rPr>
      <w:t>D</w:t>
    </w:r>
    <w:r>
      <w:rPr>
        <w:rFonts w:ascii="Arial" w:hAnsi="Arial" w:cs="Arial"/>
        <w:spacing w:val="-6"/>
        <w:sz w:val="22"/>
        <w:szCs w:val="22"/>
        <w:bdr w:val="single" w:color="auto" w:sz="4" w:space="0"/>
      </w:rPr>
      <w:t>I</w:t>
    </w:r>
    <w:r>
      <w:rPr>
        <w:rFonts w:ascii="Arial" w:hAnsi="Arial" w:cs="Arial"/>
        <w:sz w:val="22"/>
        <w:szCs w:val="22"/>
        <w:bdr w:val="single" w:color="auto" w:sz="4" w:space="0"/>
      </w:rPr>
      <w:t>Č: 2023513745</w:t>
    </w:r>
  </w:p>
  <w:p>
    <w:pPr>
      <w:pStyle w:val="11"/>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tbl>
    <w:tblPr>
      <w:tblStyle w:val="5"/>
      <w:tblW w:w="8260" w:type="dxa"/>
      <w:tblInd w:w="55" w:type="dxa"/>
      <w:tblLayout w:type="autofit"/>
      <w:tblCellMar>
        <w:top w:w="0" w:type="dxa"/>
        <w:left w:w="70" w:type="dxa"/>
        <w:bottom w:w="0" w:type="dxa"/>
        <w:right w:w="70" w:type="dxa"/>
      </w:tblCellMar>
    </w:tblPr>
    <w:tblGrid>
      <w:gridCol w:w="2780"/>
      <w:gridCol w:w="2260"/>
      <w:gridCol w:w="554"/>
      <w:gridCol w:w="320"/>
      <w:gridCol w:w="320"/>
      <w:gridCol w:w="320"/>
      <w:gridCol w:w="320"/>
      <w:gridCol w:w="320"/>
      <w:gridCol w:w="320"/>
      <w:gridCol w:w="320"/>
      <w:gridCol w:w="320"/>
      <w:gridCol w:w="320"/>
      <w:gridCol w:w="320"/>
    </w:tblGrid>
    <w:tr>
      <w:tblPrEx>
        <w:tblCellMar>
          <w:top w:w="0" w:type="dxa"/>
          <w:left w:w="70" w:type="dxa"/>
          <w:bottom w:w="0" w:type="dxa"/>
          <w:right w:w="70" w:type="dxa"/>
        </w:tblCellMar>
      </w:tblPrEx>
      <w:trPr>
        <w:trHeight w:val="330" w:hRule="atLeast"/>
      </w:trPr>
      <w:tc>
        <w:tcPr>
          <w:tcW w:w="2780" w:type="dxa"/>
          <w:tcBorders>
            <w:top w:val="single" w:color="auto" w:sz="4" w:space="0"/>
            <w:left w:val="single" w:color="auto" w:sz="4" w:space="0"/>
            <w:bottom w:val="single" w:color="auto" w:sz="4" w:space="0"/>
            <w:right w:val="single" w:color="000000" w:sz="4" w:space="0"/>
          </w:tcBorders>
          <w:noWrap/>
          <w:vAlign w:val="bottom"/>
        </w:tcPr>
        <w:p>
          <w:pPr>
            <w:rPr>
              <w:color w:val="000000"/>
              <w:szCs w:val="22"/>
            </w:rPr>
          </w:pPr>
          <w:r>
            <w:rPr>
              <w:color w:val="000000"/>
              <w:szCs w:val="22"/>
            </w:rPr>
            <w:t>Poznámky Úč POD 3 - 04</w:t>
          </w:r>
        </w:p>
      </w:tc>
      <w:tc>
        <w:tcPr>
          <w:tcW w:w="2260" w:type="dxa"/>
          <w:tcBorders>
            <w:top w:val="nil"/>
            <w:left w:val="nil"/>
            <w:bottom w:val="nil"/>
            <w:right w:val="nil"/>
          </w:tcBorders>
          <w:noWrap/>
          <w:vAlign w:val="bottom"/>
        </w:tcPr>
        <w:p>
          <w:pPr>
            <w:jc w:val="center"/>
            <w:rPr>
              <w:color w:val="000000"/>
              <w:szCs w:val="22"/>
            </w:rPr>
          </w:pPr>
        </w:p>
      </w:tc>
      <w:tc>
        <w:tcPr>
          <w:tcW w:w="420" w:type="dxa"/>
          <w:tcBorders>
            <w:top w:val="nil"/>
            <w:left w:val="nil"/>
            <w:bottom w:val="nil"/>
            <w:right w:val="nil"/>
          </w:tcBorders>
          <w:noWrap/>
          <w:vAlign w:val="bottom"/>
        </w:tcPr>
        <w:p>
          <w:pPr>
            <w:rPr>
              <w:color w:val="000000"/>
              <w:szCs w:val="22"/>
            </w:rPr>
          </w:pPr>
          <w:r>
            <w:rPr>
              <w:color w:val="000000"/>
              <w:szCs w:val="22"/>
            </w:rPr>
            <w:t>DIČ</w:t>
          </w:r>
        </w:p>
      </w:tc>
      <w:tc>
        <w:tcPr>
          <w:tcW w:w="280" w:type="dxa"/>
          <w:tcBorders>
            <w:top w:val="single" w:color="auto" w:sz="4" w:space="0"/>
            <w:left w:val="single" w:color="auto" w:sz="4" w:space="0"/>
            <w:bottom w:val="single" w:color="auto" w:sz="4" w:space="0"/>
            <w:right w:val="single" w:color="auto" w:sz="4" w:space="0"/>
          </w:tcBorders>
          <w:noWrap/>
          <w:vAlign w:val="center"/>
        </w:tcPr>
        <w:p>
          <w:pPr>
            <w:jc w:val="center"/>
            <w:rPr>
              <w:szCs w:val="22"/>
            </w:rPr>
          </w:pPr>
          <w:r>
            <w:rPr>
              <w:szCs w:val="22"/>
            </w:rPr>
            <w:t> 1</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2 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3 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4 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5 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6 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7 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8 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9 </w:t>
          </w:r>
        </w:p>
      </w:tc>
      <w:tc>
        <w:tcPr>
          <w:tcW w:w="280" w:type="dxa"/>
          <w:tcBorders>
            <w:top w:val="single" w:color="auto" w:sz="4" w:space="0"/>
            <w:left w:val="nil"/>
            <w:bottom w:val="single" w:color="auto" w:sz="4" w:space="0"/>
            <w:right w:val="single" w:color="auto" w:sz="4" w:space="0"/>
          </w:tcBorders>
          <w:noWrap/>
          <w:vAlign w:val="center"/>
        </w:tcPr>
        <w:p>
          <w:pPr>
            <w:jc w:val="center"/>
            <w:rPr>
              <w:szCs w:val="22"/>
            </w:rPr>
          </w:pPr>
          <w:r>
            <w:rPr>
              <w:szCs w:val="22"/>
            </w:rPr>
            <w:t>0 </w:t>
          </w:r>
        </w:p>
      </w:tc>
    </w:tr>
  </w:tbl>
  <w:p>
    <w:pPr>
      <w:pStyle w:val="11"/>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E597DE9"/>
    <w:multiLevelType w:val="multilevel"/>
    <w:tmpl w:val="1E597DE9"/>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1">
    <w:nsid w:val="26891FC1"/>
    <w:multiLevelType w:val="multilevel"/>
    <w:tmpl w:val="26891FC1"/>
    <w:lvl w:ilvl="0" w:tentative="0">
      <w:start w:val="1"/>
      <w:numFmt w:val="bullet"/>
      <w:lvlText w:val=""/>
      <w:lvlJc w:val="left"/>
      <w:pPr>
        <w:ind w:left="360" w:hanging="360"/>
      </w:pPr>
      <w:rPr>
        <w:rFonts w:hint="default" w:ascii="Wingdings" w:hAnsi="Wingdings"/>
      </w:rPr>
    </w:lvl>
    <w:lvl w:ilvl="1" w:tentative="0">
      <w:start w:val="1"/>
      <w:numFmt w:val="bullet"/>
      <w:lvlText w:val="o"/>
      <w:lvlJc w:val="left"/>
      <w:pPr>
        <w:ind w:left="1080" w:hanging="360"/>
      </w:pPr>
      <w:rPr>
        <w:rFonts w:hint="default" w:ascii="Courier New" w:hAnsi="Courier New" w:cs="Courier New"/>
      </w:rPr>
    </w:lvl>
    <w:lvl w:ilvl="2" w:tentative="0">
      <w:start w:val="1"/>
      <w:numFmt w:val="bullet"/>
      <w:lvlText w:val=""/>
      <w:lvlJc w:val="left"/>
      <w:pPr>
        <w:ind w:left="1800" w:hanging="360"/>
      </w:pPr>
      <w:rPr>
        <w:rFonts w:hint="default" w:ascii="Wingdings" w:hAnsi="Wingdings"/>
      </w:rPr>
    </w:lvl>
    <w:lvl w:ilvl="3" w:tentative="0">
      <w:start w:val="1"/>
      <w:numFmt w:val="bullet"/>
      <w:lvlText w:val=""/>
      <w:lvlJc w:val="left"/>
      <w:pPr>
        <w:ind w:left="2520" w:hanging="360"/>
      </w:pPr>
      <w:rPr>
        <w:rFonts w:hint="default" w:ascii="Symbol" w:hAnsi="Symbol"/>
      </w:rPr>
    </w:lvl>
    <w:lvl w:ilvl="4" w:tentative="0">
      <w:start w:val="1"/>
      <w:numFmt w:val="bullet"/>
      <w:lvlText w:val="o"/>
      <w:lvlJc w:val="left"/>
      <w:pPr>
        <w:ind w:left="3240" w:hanging="360"/>
      </w:pPr>
      <w:rPr>
        <w:rFonts w:hint="default" w:ascii="Courier New" w:hAnsi="Courier New" w:cs="Courier New"/>
      </w:rPr>
    </w:lvl>
    <w:lvl w:ilvl="5" w:tentative="0">
      <w:start w:val="1"/>
      <w:numFmt w:val="bullet"/>
      <w:lvlText w:val=""/>
      <w:lvlJc w:val="left"/>
      <w:pPr>
        <w:ind w:left="3960" w:hanging="360"/>
      </w:pPr>
      <w:rPr>
        <w:rFonts w:hint="default" w:ascii="Wingdings" w:hAnsi="Wingdings"/>
      </w:rPr>
    </w:lvl>
    <w:lvl w:ilvl="6" w:tentative="0">
      <w:start w:val="1"/>
      <w:numFmt w:val="bullet"/>
      <w:lvlText w:val=""/>
      <w:lvlJc w:val="left"/>
      <w:pPr>
        <w:ind w:left="4680" w:hanging="360"/>
      </w:pPr>
      <w:rPr>
        <w:rFonts w:hint="default" w:ascii="Symbol" w:hAnsi="Symbol"/>
      </w:rPr>
    </w:lvl>
    <w:lvl w:ilvl="7" w:tentative="0">
      <w:start w:val="1"/>
      <w:numFmt w:val="bullet"/>
      <w:lvlText w:val="o"/>
      <w:lvlJc w:val="left"/>
      <w:pPr>
        <w:ind w:left="5400" w:hanging="360"/>
      </w:pPr>
      <w:rPr>
        <w:rFonts w:hint="default" w:ascii="Courier New" w:hAnsi="Courier New" w:cs="Courier New"/>
      </w:rPr>
    </w:lvl>
    <w:lvl w:ilvl="8" w:tentative="0">
      <w:start w:val="1"/>
      <w:numFmt w:val="bullet"/>
      <w:lvlText w:val=""/>
      <w:lvlJc w:val="left"/>
      <w:pPr>
        <w:ind w:left="6120" w:hanging="360"/>
      </w:pPr>
      <w:rPr>
        <w:rFonts w:hint="default" w:ascii="Wingdings" w:hAnsi="Wingdings"/>
      </w:rPr>
    </w:lvl>
  </w:abstractNum>
  <w:abstractNum w:abstractNumId="2">
    <w:nsid w:val="67487002"/>
    <w:multiLevelType w:val="multilevel"/>
    <w:tmpl w:val="67487002"/>
    <w:lvl w:ilvl="0" w:tentative="0">
      <w:start w:val="1"/>
      <w:numFmt w:val="decimal"/>
      <w:pStyle w:val="2"/>
      <w:lvlText w:val="§ %1"/>
      <w:lvlJc w:val="center"/>
      <w:pPr>
        <w:tabs>
          <w:tab w:val="left" w:pos="5220"/>
        </w:tabs>
        <w:ind w:left="4500" w:firstLine="360"/>
      </w:pPr>
      <w:rPr>
        <w:rFonts w:ascii="Times New Roman" w:hAnsi="Times New Roman" w:cs="Times New Roman"/>
        <w:b w:val="0"/>
        <w:bCs w:val="0"/>
        <w:i w:val="0"/>
        <w:iCs w:val="0"/>
        <w:caps w:val="0"/>
        <w:smallCaps w:val="0"/>
        <w:strike w:val="0"/>
        <w:dstrike w:val="0"/>
        <w:vanish w:val="0"/>
        <w:color w:val="auto"/>
        <w:spacing w:val="0"/>
        <w:w w:val="100"/>
        <w:kern w:val="0"/>
        <w:position w:val="0"/>
        <w:sz w:val="24"/>
        <w:szCs w:val="24"/>
        <w:u w:val="none"/>
        <w:vertAlign w:val="baseline"/>
        <w14:shadow w14:blurRad="0" w14:dist="0" w14:dir="0" w14:sx="0" w14:sy="0" w14:kx="0" w14:ky="0" w14:algn="none">
          <w14:srgbClr w14:val="000000"/>
        </w14:shadow>
      </w:rPr>
    </w:lvl>
    <w:lvl w:ilvl="1" w:tentative="0">
      <w:start w:val="1"/>
      <w:numFmt w:val="lowerLetter"/>
      <w:lvlText w:val="%2."/>
      <w:lvlJc w:val="left"/>
      <w:pPr>
        <w:tabs>
          <w:tab w:val="left" w:pos="1440"/>
        </w:tabs>
        <w:ind w:left="1440" w:hanging="360"/>
      </w:pPr>
    </w:lvl>
    <w:lvl w:ilvl="2" w:tentative="0">
      <w:start w:val="1"/>
      <w:numFmt w:val="lowerRoman"/>
      <w:lvlText w:val="%3."/>
      <w:lvlJc w:val="right"/>
      <w:pPr>
        <w:tabs>
          <w:tab w:val="left" w:pos="2160"/>
        </w:tabs>
        <w:ind w:left="2160" w:hanging="180"/>
      </w:pPr>
    </w:lvl>
    <w:lvl w:ilvl="3" w:tentative="0">
      <w:start w:val="1"/>
      <w:numFmt w:val="decimal"/>
      <w:lvlText w:val="%4."/>
      <w:lvlJc w:val="left"/>
      <w:pPr>
        <w:tabs>
          <w:tab w:val="left" w:pos="2880"/>
        </w:tabs>
        <w:ind w:left="2880" w:hanging="360"/>
      </w:pPr>
    </w:lvl>
    <w:lvl w:ilvl="4" w:tentative="0">
      <w:start w:val="1"/>
      <w:numFmt w:val="lowerLetter"/>
      <w:lvlText w:val="%5."/>
      <w:lvlJc w:val="left"/>
      <w:pPr>
        <w:tabs>
          <w:tab w:val="left" w:pos="3600"/>
        </w:tabs>
        <w:ind w:left="3600" w:hanging="360"/>
      </w:pPr>
    </w:lvl>
    <w:lvl w:ilvl="5" w:tentative="0">
      <w:start w:val="1"/>
      <w:numFmt w:val="lowerRoman"/>
      <w:lvlText w:val="%6."/>
      <w:lvlJc w:val="right"/>
      <w:pPr>
        <w:tabs>
          <w:tab w:val="left" w:pos="4320"/>
        </w:tabs>
        <w:ind w:left="4320" w:hanging="180"/>
      </w:pPr>
    </w:lvl>
    <w:lvl w:ilvl="6" w:tentative="0">
      <w:start w:val="1"/>
      <w:numFmt w:val="decimal"/>
      <w:lvlText w:val="(%7)"/>
      <w:lvlJc w:val="left"/>
      <w:pPr>
        <w:tabs>
          <w:tab w:val="left" w:pos="5070"/>
        </w:tabs>
        <w:ind w:left="5070" w:hanging="390"/>
      </w:pPr>
      <w:rPr>
        <w:rFonts w:hint="default"/>
      </w:rPr>
    </w:lvl>
    <w:lvl w:ilvl="7" w:tentative="0">
      <w:start w:val="1"/>
      <w:numFmt w:val="lowerLetter"/>
      <w:lvlText w:val="%8."/>
      <w:lvlJc w:val="left"/>
      <w:pPr>
        <w:tabs>
          <w:tab w:val="left" w:pos="5760"/>
        </w:tabs>
        <w:ind w:left="5760" w:hanging="360"/>
      </w:pPr>
    </w:lvl>
    <w:lvl w:ilvl="8" w:tentative="0">
      <w:start w:val="1"/>
      <w:numFmt w:val="lowerRoman"/>
      <w:lvlText w:val="%9."/>
      <w:lvlJc w:val="right"/>
      <w:pPr>
        <w:tabs>
          <w:tab w:val="left" w:pos="6480"/>
        </w:tabs>
        <w:ind w:left="6480" w:hanging="180"/>
      </w:pPr>
    </w:lvl>
  </w:abstractNum>
  <w:abstractNum w:abstractNumId="3">
    <w:nsid w:val="79FF7CE9"/>
    <w:multiLevelType w:val="multilevel"/>
    <w:tmpl w:val="79FF7CE9"/>
    <w:lvl w:ilvl="0" w:tentative="0">
      <w:start w:val="4"/>
      <w:numFmt w:val="bullet"/>
      <w:lvlText w:val="-"/>
      <w:lvlJc w:val="left"/>
      <w:pPr>
        <w:ind w:left="720" w:hanging="360"/>
      </w:pPr>
      <w:rPr>
        <w:rFonts w:hint="default" w:ascii="Arial Narrow" w:hAnsi="Arial Narrow" w:eastAsia="Times New Roman" w:cs="Arial Narrow"/>
        <w:b w:val="0"/>
        <w:u w:val="none"/>
      </w:rPr>
    </w:lvl>
    <w:lvl w:ilvl="1" w:tentative="0">
      <w:start w:val="1"/>
      <w:numFmt w:val="bullet"/>
      <w:lvlText w:val="o"/>
      <w:lvlJc w:val="left"/>
      <w:pPr>
        <w:ind w:left="1440" w:hanging="360"/>
      </w:pPr>
      <w:rPr>
        <w:rFonts w:hint="default" w:ascii="Courier New" w:hAnsi="Courier New" w:cs="Courier New"/>
      </w:rPr>
    </w:lvl>
    <w:lvl w:ilvl="2" w:tentative="0">
      <w:start w:val="1"/>
      <w:numFmt w:val="bullet"/>
      <w:lvlText w:val=""/>
      <w:lvlJc w:val="left"/>
      <w:pPr>
        <w:ind w:left="2160" w:hanging="360"/>
      </w:pPr>
      <w:rPr>
        <w:rFonts w:hint="default" w:ascii="Wingdings" w:hAnsi="Wingdings"/>
      </w:rPr>
    </w:lvl>
    <w:lvl w:ilvl="3" w:tentative="0">
      <w:start w:val="1"/>
      <w:numFmt w:val="bullet"/>
      <w:lvlText w:val=""/>
      <w:lvlJc w:val="left"/>
      <w:pPr>
        <w:ind w:left="2880" w:hanging="360"/>
      </w:pPr>
      <w:rPr>
        <w:rFonts w:hint="default" w:ascii="Symbol" w:hAnsi="Symbol"/>
      </w:rPr>
    </w:lvl>
    <w:lvl w:ilvl="4" w:tentative="0">
      <w:start w:val="1"/>
      <w:numFmt w:val="bullet"/>
      <w:lvlText w:val="o"/>
      <w:lvlJc w:val="left"/>
      <w:pPr>
        <w:ind w:left="3600" w:hanging="360"/>
      </w:pPr>
      <w:rPr>
        <w:rFonts w:hint="default" w:ascii="Courier New" w:hAnsi="Courier New" w:cs="Courier New"/>
      </w:rPr>
    </w:lvl>
    <w:lvl w:ilvl="5" w:tentative="0">
      <w:start w:val="1"/>
      <w:numFmt w:val="bullet"/>
      <w:lvlText w:val=""/>
      <w:lvlJc w:val="left"/>
      <w:pPr>
        <w:ind w:left="4320" w:hanging="360"/>
      </w:pPr>
      <w:rPr>
        <w:rFonts w:hint="default" w:ascii="Wingdings" w:hAnsi="Wingdings"/>
      </w:rPr>
    </w:lvl>
    <w:lvl w:ilvl="6" w:tentative="0">
      <w:start w:val="1"/>
      <w:numFmt w:val="bullet"/>
      <w:lvlText w:val=""/>
      <w:lvlJc w:val="left"/>
      <w:pPr>
        <w:ind w:left="5040" w:hanging="360"/>
      </w:pPr>
      <w:rPr>
        <w:rFonts w:hint="default" w:ascii="Symbol" w:hAnsi="Symbol"/>
      </w:rPr>
    </w:lvl>
    <w:lvl w:ilvl="7" w:tentative="0">
      <w:start w:val="1"/>
      <w:numFmt w:val="bullet"/>
      <w:lvlText w:val="o"/>
      <w:lvlJc w:val="left"/>
      <w:pPr>
        <w:ind w:left="5760" w:hanging="360"/>
      </w:pPr>
      <w:rPr>
        <w:rFonts w:hint="default" w:ascii="Courier New" w:hAnsi="Courier New" w:cs="Courier New"/>
      </w:rPr>
    </w:lvl>
    <w:lvl w:ilvl="8" w:tentative="0">
      <w:start w:val="1"/>
      <w:numFmt w:val="bullet"/>
      <w:lvlText w:val=""/>
      <w:lvlJc w:val="left"/>
      <w:pPr>
        <w:ind w:left="6480" w:hanging="360"/>
      </w:pPr>
      <w:rPr>
        <w:rFonts w:hint="default" w:ascii="Wingdings" w:hAnsi="Wingdings"/>
      </w:rPr>
    </w:lvl>
  </w:abstractNum>
  <w:num w:numId="1">
    <w:abstractNumId w:val="2"/>
  </w:num>
  <w:num w:numId="2">
    <w:abstractNumId w:val="3"/>
  </w:num>
  <w:num w:numId="3">
    <w:abstractNumId w:val="1"/>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113"/>
  <w:hyphenationZone w:val="425"/>
  <w:doNotHyphenateCaps/>
  <w:drawingGridHorizontalSpacing w:val="120"/>
  <w:drawingGridVerticalSpacing w:val="163"/>
  <w:displayHorizontalDrawingGridEvery w:val="0"/>
  <w:displayVerticalDrawingGridEvery w:val="2"/>
  <w:characterSpacingControl w:val="doNotCompress"/>
  <w:doNotValidateAgainstSchema/>
  <w:doNotDemarcateInvalidXml/>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C1D"/>
    <w:rsid w:val="00000C65"/>
    <w:rsid w:val="000104C1"/>
    <w:rsid w:val="00024CC8"/>
    <w:rsid w:val="0002705A"/>
    <w:rsid w:val="000322E4"/>
    <w:rsid w:val="00037969"/>
    <w:rsid w:val="0004086F"/>
    <w:rsid w:val="000433E0"/>
    <w:rsid w:val="00044E9F"/>
    <w:rsid w:val="00045B2B"/>
    <w:rsid w:val="0004669A"/>
    <w:rsid w:val="00051B40"/>
    <w:rsid w:val="000538A8"/>
    <w:rsid w:val="0005393E"/>
    <w:rsid w:val="00053F45"/>
    <w:rsid w:val="0005650F"/>
    <w:rsid w:val="00057E69"/>
    <w:rsid w:val="00066A39"/>
    <w:rsid w:val="00067195"/>
    <w:rsid w:val="00070129"/>
    <w:rsid w:val="00070DC9"/>
    <w:rsid w:val="000764C2"/>
    <w:rsid w:val="00077870"/>
    <w:rsid w:val="00080329"/>
    <w:rsid w:val="000814D5"/>
    <w:rsid w:val="00086D86"/>
    <w:rsid w:val="00092868"/>
    <w:rsid w:val="000933AB"/>
    <w:rsid w:val="0009688B"/>
    <w:rsid w:val="000A0382"/>
    <w:rsid w:val="000A2AF1"/>
    <w:rsid w:val="000A46AB"/>
    <w:rsid w:val="000A4BDC"/>
    <w:rsid w:val="000B05BB"/>
    <w:rsid w:val="000B12AB"/>
    <w:rsid w:val="000B1BA1"/>
    <w:rsid w:val="000B252C"/>
    <w:rsid w:val="000B2961"/>
    <w:rsid w:val="000B684D"/>
    <w:rsid w:val="000B70DE"/>
    <w:rsid w:val="000C1504"/>
    <w:rsid w:val="000E0FA5"/>
    <w:rsid w:val="000E4475"/>
    <w:rsid w:val="000E57B5"/>
    <w:rsid w:val="000E7875"/>
    <w:rsid w:val="000F226D"/>
    <w:rsid w:val="00100783"/>
    <w:rsid w:val="00103870"/>
    <w:rsid w:val="00105490"/>
    <w:rsid w:val="001126C4"/>
    <w:rsid w:val="001148AB"/>
    <w:rsid w:val="001162B1"/>
    <w:rsid w:val="00117BEB"/>
    <w:rsid w:val="00117E62"/>
    <w:rsid w:val="00124A2A"/>
    <w:rsid w:val="001255F2"/>
    <w:rsid w:val="00125C0D"/>
    <w:rsid w:val="00126DE3"/>
    <w:rsid w:val="001314DC"/>
    <w:rsid w:val="001357F4"/>
    <w:rsid w:val="001375F1"/>
    <w:rsid w:val="00137CDE"/>
    <w:rsid w:val="001422DA"/>
    <w:rsid w:val="001550FB"/>
    <w:rsid w:val="001553EC"/>
    <w:rsid w:val="0015717E"/>
    <w:rsid w:val="001641B3"/>
    <w:rsid w:val="00171D3D"/>
    <w:rsid w:val="00173E72"/>
    <w:rsid w:val="00175067"/>
    <w:rsid w:val="00177499"/>
    <w:rsid w:val="00177E9D"/>
    <w:rsid w:val="001821C1"/>
    <w:rsid w:val="00182CD7"/>
    <w:rsid w:val="00182F4B"/>
    <w:rsid w:val="001922C8"/>
    <w:rsid w:val="00194863"/>
    <w:rsid w:val="001A0386"/>
    <w:rsid w:val="001A05C3"/>
    <w:rsid w:val="001A1F4C"/>
    <w:rsid w:val="001A46CA"/>
    <w:rsid w:val="001A5D58"/>
    <w:rsid w:val="001A5DD0"/>
    <w:rsid w:val="001A6AA3"/>
    <w:rsid w:val="001B1F02"/>
    <w:rsid w:val="001B34AD"/>
    <w:rsid w:val="001B376D"/>
    <w:rsid w:val="001B4475"/>
    <w:rsid w:val="001C2CAD"/>
    <w:rsid w:val="001C5B3C"/>
    <w:rsid w:val="001C7886"/>
    <w:rsid w:val="001E0093"/>
    <w:rsid w:val="001E1B23"/>
    <w:rsid w:val="001E6826"/>
    <w:rsid w:val="001F42CE"/>
    <w:rsid w:val="001F453E"/>
    <w:rsid w:val="001F718C"/>
    <w:rsid w:val="001F7CCE"/>
    <w:rsid w:val="002100EC"/>
    <w:rsid w:val="00212CBA"/>
    <w:rsid w:val="00216A06"/>
    <w:rsid w:val="0021761B"/>
    <w:rsid w:val="00223544"/>
    <w:rsid w:val="00223758"/>
    <w:rsid w:val="002342CE"/>
    <w:rsid w:val="00235630"/>
    <w:rsid w:val="00246C6C"/>
    <w:rsid w:val="002474D2"/>
    <w:rsid w:val="00262920"/>
    <w:rsid w:val="0026388C"/>
    <w:rsid w:val="00265418"/>
    <w:rsid w:val="0026737F"/>
    <w:rsid w:val="002715D0"/>
    <w:rsid w:val="002716CB"/>
    <w:rsid w:val="002729B2"/>
    <w:rsid w:val="00272B4B"/>
    <w:rsid w:val="00281335"/>
    <w:rsid w:val="00282986"/>
    <w:rsid w:val="00283B09"/>
    <w:rsid w:val="00284FBF"/>
    <w:rsid w:val="00287F94"/>
    <w:rsid w:val="00292240"/>
    <w:rsid w:val="0029438D"/>
    <w:rsid w:val="00295E93"/>
    <w:rsid w:val="00296685"/>
    <w:rsid w:val="00297BB8"/>
    <w:rsid w:val="002A1BAA"/>
    <w:rsid w:val="002A2389"/>
    <w:rsid w:val="002A28DC"/>
    <w:rsid w:val="002A4000"/>
    <w:rsid w:val="002A78C8"/>
    <w:rsid w:val="002B0283"/>
    <w:rsid w:val="002B2E75"/>
    <w:rsid w:val="002C1869"/>
    <w:rsid w:val="002C1A49"/>
    <w:rsid w:val="002C25D7"/>
    <w:rsid w:val="002C3C72"/>
    <w:rsid w:val="002D0D47"/>
    <w:rsid w:val="002D267F"/>
    <w:rsid w:val="002E1542"/>
    <w:rsid w:val="002E490E"/>
    <w:rsid w:val="002E6607"/>
    <w:rsid w:val="002F23B0"/>
    <w:rsid w:val="002F5C77"/>
    <w:rsid w:val="00302371"/>
    <w:rsid w:val="003023F7"/>
    <w:rsid w:val="003061CE"/>
    <w:rsid w:val="00306960"/>
    <w:rsid w:val="00312CE9"/>
    <w:rsid w:val="003208FD"/>
    <w:rsid w:val="00331575"/>
    <w:rsid w:val="00331C93"/>
    <w:rsid w:val="00331EB6"/>
    <w:rsid w:val="00332E9A"/>
    <w:rsid w:val="00336F51"/>
    <w:rsid w:val="00340849"/>
    <w:rsid w:val="003408EA"/>
    <w:rsid w:val="00346F61"/>
    <w:rsid w:val="00350E31"/>
    <w:rsid w:val="00351402"/>
    <w:rsid w:val="0035234F"/>
    <w:rsid w:val="00355441"/>
    <w:rsid w:val="00362212"/>
    <w:rsid w:val="0036452C"/>
    <w:rsid w:val="003672E8"/>
    <w:rsid w:val="003773CD"/>
    <w:rsid w:val="0038045E"/>
    <w:rsid w:val="00391830"/>
    <w:rsid w:val="00391A1E"/>
    <w:rsid w:val="00394749"/>
    <w:rsid w:val="00396C6C"/>
    <w:rsid w:val="003974CA"/>
    <w:rsid w:val="003A15E2"/>
    <w:rsid w:val="003A351E"/>
    <w:rsid w:val="003A6346"/>
    <w:rsid w:val="003B22E0"/>
    <w:rsid w:val="003B764F"/>
    <w:rsid w:val="003C024D"/>
    <w:rsid w:val="003C13BE"/>
    <w:rsid w:val="003C20BE"/>
    <w:rsid w:val="003C4F72"/>
    <w:rsid w:val="003D1B77"/>
    <w:rsid w:val="003D3AF5"/>
    <w:rsid w:val="003D4C8A"/>
    <w:rsid w:val="003E1FCF"/>
    <w:rsid w:val="003E330A"/>
    <w:rsid w:val="003E3C41"/>
    <w:rsid w:val="003E5753"/>
    <w:rsid w:val="003E7344"/>
    <w:rsid w:val="003F0D89"/>
    <w:rsid w:val="00400EF7"/>
    <w:rsid w:val="00406D81"/>
    <w:rsid w:val="0041493D"/>
    <w:rsid w:val="00420F05"/>
    <w:rsid w:val="004233E2"/>
    <w:rsid w:val="00426264"/>
    <w:rsid w:val="004264CD"/>
    <w:rsid w:val="00433587"/>
    <w:rsid w:val="00434A9A"/>
    <w:rsid w:val="0044052C"/>
    <w:rsid w:val="00444759"/>
    <w:rsid w:val="00446B45"/>
    <w:rsid w:val="0044745F"/>
    <w:rsid w:val="0045072D"/>
    <w:rsid w:val="00453111"/>
    <w:rsid w:val="00453775"/>
    <w:rsid w:val="0045492B"/>
    <w:rsid w:val="00454AEB"/>
    <w:rsid w:val="00454F2D"/>
    <w:rsid w:val="0045642D"/>
    <w:rsid w:val="00460CC6"/>
    <w:rsid w:val="004617C6"/>
    <w:rsid w:val="00482574"/>
    <w:rsid w:val="00484634"/>
    <w:rsid w:val="00484695"/>
    <w:rsid w:val="00484848"/>
    <w:rsid w:val="00487167"/>
    <w:rsid w:val="00487CB2"/>
    <w:rsid w:val="004A0C7E"/>
    <w:rsid w:val="004A1C62"/>
    <w:rsid w:val="004A1E6C"/>
    <w:rsid w:val="004A2FB9"/>
    <w:rsid w:val="004A3D87"/>
    <w:rsid w:val="004B4B10"/>
    <w:rsid w:val="004B7DB5"/>
    <w:rsid w:val="004C30CE"/>
    <w:rsid w:val="004C5915"/>
    <w:rsid w:val="004C7D02"/>
    <w:rsid w:val="004D2FC9"/>
    <w:rsid w:val="004D52BA"/>
    <w:rsid w:val="004D5595"/>
    <w:rsid w:val="004D6D30"/>
    <w:rsid w:val="004E32B6"/>
    <w:rsid w:val="004E4A85"/>
    <w:rsid w:val="004E4FCE"/>
    <w:rsid w:val="004E76A2"/>
    <w:rsid w:val="004F48BF"/>
    <w:rsid w:val="005008FA"/>
    <w:rsid w:val="005031B8"/>
    <w:rsid w:val="00511DDE"/>
    <w:rsid w:val="00512000"/>
    <w:rsid w:val="0051700A"/>
    <w:rsid w:val="00521298"/>
    <w:rsid w:val="005222B8"/>
    <w:rsid w:val="00526FB9"/>
    <w:rsid w:val="00527E38"/>
    <w:rsid w:val="00530A48"/>
    <w:rsid w:val="00547AE9"/>
    <w:rsid w:val="00550F87"/>
    <w:rsid w:val="005527DA"/>
    <w:rsid w:val="00561317"/>
    <w:rsid w:val="00561BA9"/>
    <w:rsid w:val="00562E0F"/>
    <w:rsid w:val="00566CE3"/>
    <w:rsid w:val="005708A2"/>
    <w:rsid w:val="00573E9F"/>
    <w:rsid w:val="0057641B"/>
    <w:rsid w:val="00582C1D"/>
    <w:rsid w:val="00582F0F"/>
    <w:rsid w:val="00585033"/>
    <w:rsid w:val="00585C1A"/>
    <w:rsid w:val="00586CE9"/>
    <w:rsid w:val="00590ACE"/>
    <w:rsid w:val="00593B4A"/>
    <w:rsid w:val="005951C5"/>
    <w:rsid w:val="005A41F7"/>
    <w:rsid w:val="005A5912"/>
    <w:rsid w:val="005A612F"/>
    <w:rsid w:val="005C08D0"/>
    <w:rsid w:val="005C3B7A"/>
    <w:rsid w:val="005C7EEB"/>
    <w:rsid w:val="005D22A2"/>
    <w:rsid w:val="005D6564"/>
    <w:rsid w:val="005D7097"/>
    <w:rsid w:val="005E12D2"/>
    <w:rsid w:val="005E4F88"/>
    <w:rsid w:val="005E513E"/>
    <w:rsid w:val="005E6774"/>
    <w:rsid w:val="005E6F68"/>
    <w:rsid w:val="005F1DFA"/>
    <w:rsid w:val="005F26DB"/>
    <w:rsid w:val="005F504F"/>
    <w:rsid w:val="00610810"/>
    <w:rsid w:val="00614845"/>
    <w:rsid w:val="00615C55"/>
    <w:rsid w:val="00620893"/>
    <w:rsid w:val="00636459"/>
    <w:rsid w:val="00640019"/>
    <w:rsid w:val="00642FD8"/>
    <w:rsid w:val="00651F5C"/>
    <w:rsid w:val="00660F06"/>
    <w:rsid w:val="00661CE7"/>
    <w:rsid w:val="00671EEA"/>
    <w:rsid w:val="0067616D"/>
    <w:rsid w:val="006761B2"/>
    <w:rsid w:val="006767A9"/>
    <w:rsid w:val="00683790"/>
    <w:rsid w:val="00684913"/>
    <w:rsid w:val="00684E4D"/>
    <w:rsid w:val="00697203"/>
    <w:rsid w:val="006A00C7"/>
    <w:rsid w:val="006A0CA6"/>
    <w:rsid w:val="006A2F53"/>
    <w:rsid w:val="006B69FE"/>
    <w:rsid w:val="006C018F"/>
    <w:rsid w:val="006C7BF2"/>
    <w:rsid w:val="006D1E5C"/>
    <w:rsid w:val="006D2872"/>
    <w:rsid w:val="006D45DD"/>
    <w:rsid w:val="006D7398"/>
    <w:rsid w:val="006E1435"/>
    <w:rsid w:val="006E30F1"/>
    <w:rsid w:val="006E324E"/>
    <w:rsid w:val="006E6532"/>
    <w:rsid w:val="006E766F"/>
    <w:rsid w:val="006F131C"/>
    <w:rsid w:val="006F5596"/>
    <w:rsid w:val="006F5A49"/>
    <w:rsid w:val="006F7BC2"/>
    <w:rsid w:val="00701C3B"/>
    <w:rsid w:val="00704DF2"/>
    <w:rsid w:val="0070649A"/>
    <w:rsid w:val="00711BAB"/>
    <w:rsid w:val="00711C27"/>
    <w:rsid w:val="00712BD7"/>
    <w:rsid w:val="007139BF"/>
    <w:rsid w:val="00720838"/>
    <w:rsid w:val="00723420"/>
    <w:rsid w:val="00724165"/>
    <w:rsid w:val="007274B4"/>
    <w:rsid w:val="00733A07"/>
    <w:rsid w:val="00736286"/>
    <w:rsid w:val="00741A9D"/>
    <w:rsid w:val="007475DC"/>
    <w:rsid w:val="007502AE"/>
    <w:rsid w:val="0075132C"/>
    <w:rsid w:val="007534C7"/>
    <w:rsid w:val="0075484E"/>
    <w:rsid w:val="00755848"/>
    <w:rsid w:val="00755E77"/>
    <w:rsid w:val="007561E8"/>
    <w:rsid w:val="00760326"/>
    <w:rsid w:val="00764219"/>
    <w:rsid w:val="0076539B"/>
    <w:rsid w:val="00771D0D"/>
    <w:rsid w:val="007728FB"/>
    <w:rsid w:val="007753B9"/>
    <w:rsid w:val="00780227"/>
    <w:rsid w:val="007805CE"/>
    <w:rsid w:val="0078433D"/>
    <w:rsid w:val="007A17D1"/>
    <w:rsid w:val="007A1F08"/>
    <w:rsid w:val="007A6BEE"/>
    <w:rsid w:val="007B6B6C"/>
    <w:rsid w:val="007C04E4"/>
    <w:rsid w:val="007C1863"/>
    <w:rsid w:val="007C24FE"/>
    <w:rsid w:val="007C40F2"/>
    <w:rsid w:val="007C6DC0"/>
    <w:rsid w:val="007D0D5D"/>
    <w:rsid w:val="007D50DA"/>
    <w:rsid w:val="007E32BC"/>
    <w:rsid w:val="007E4153"/>
    <w:rsid w:val="007E4948"/>
    <w:rsid w:val="007E7210"/>
    <w:rsid w:val="007F26F7"/>
    <w:rsid w:val="007F3179"/>
    <w:rsid w:val="007F523F"/>
    <w:rsid w:val="007F6029"/>
    <w:rsid w:val="0080258D"/>
    <w:rsid w:val="0080392F"/>
    <w:rsid w:val="008119BF"/>
    <w:rsid w:val="00815AE4"/>
    <w:rsid w:val="00815F77"/>
    <w:rsid w:val="00822A3C"/>
    <w:rsid w:val="008271F6"/>
    <w:rsid w:val="00827D2A"/>
    <w:rsid w:val="00832FF0"/>
    <w:rsid w:val="0084070B"/>
    <w:rsid w:val="00846209"/>
    <w:rsid w:val="0085044A"/>
    <w:rsid w:val="0085408B"/>
    <w:rsid w:val="00857F33"/>
    <w:rsid w:val="00861401"/>
    <w:rsid w:val="00861803"/>
    <w:rsid w:val="00867392"/>
    <w:rsid w:val="0087132B"/>
    <w:rsid w:val="00882F60"/>
    <w:rsid w:val="00884A8C"/>
    <w:rsid w:val="00890711"/>
    <w:rsid w:val="008945D9"/>
    <w:rsid w:val="008A1671"/>
    <w:rsid w:val="008A4E24"/>
    <w:rsid w:val="008A6CD3"/>
    <w:rsid w:val="008B0093"/>
    <w:rsid w:val="008B186E"/>
    <w:rsid w:val="008B19F2"/>
    <w:rsid w:val="008B3CF8"/>
    <w:rsid w:val="008B4817"/>
    <w:rsid w:val="008B6609"/>
    <w:rsid w:val="008B6B57"/>
    <w:rsid w:val="008C2857"/>
    <w:rsid w:val="008C4105"/>
    <w:rsid w:val="008C4D3A"/>
    <w:rsid w:val="008C5C88"/>
    <w:rsid w:val="008C6DA6"/>
    <w:rsid w:val="008D0B38"/>
    <w:rsid w:val="008D3EB6"/>
    <w:rsid w:val="008D6D25"/>
    <w:rsid w:val="008E18B3"/>
    <w:rsid w:val="008E6809"/>
    <w:rsid w:val="008F7BD4"/>
    <w:rsid w:val="0090056C"/>
    <w:rsid w:val="00914FC6"/>
    <w:rsid w:val="00925C6F"/>
    <w:rsid w:val="00935334"/>
    <w:rsid w:val="00940C7E"/>
    <w:rsid w:val="009448EC"/>
    <w:rsid w:val="00945CB3"/>
    <w:rsid w:val="0095296D"/>
    <w:rsid w:val="00952C06"/>
    <w:rsid w:val="0095638F"/>
    <w:rsid w:val="009625B5"/>
    <w:rsid w:val="009630FD"/>
    <w:rsid w:val="009631F4"/>
    <w:rsid w:val="00967EF0"/>
    <w:rsid w:val="009814FE"/>
    <w:rsid w:val="00990840"/>
    <w:rsid w:val="009965DA"/>
    <w:rsid w:val="009A06CA"/>
    <w:rsid w:val="009B124D"/>
    <w:rsid w:val="009B17D1"/>
    <w:rsid w:val="009C2162"/>
    <w:rsid w:val="009C49BF"/>
    <w:rsid w:val="009C58C9"/>
    <w:rsid w:val="009D0C18"/>
    <w:rsid w:val="009D2303"/>
    <w:rsid w:val="009D3DB8"/>
    <w:rsid w:val="009D7E50"/>
    <w:rsid w:val="009E39F8"/>
    <w:rsid w:val="009F04E7"/>
    <w:rsid w:val="009F058C"/>
    <w:rsid w:val="009F5D0D"/>
    <w:rsid w:val="009F65FA"/>
    <w:rsid w:val="009F6DA7"/>
    <w:rsid w:val="009F71A5"/>
    <w:rsid w:val="00A068D1"/>
    <w:rsid w:val="00A06EA9"/>
    <w:rsid w:val="00A10E26"/>
    <w:rsid w:val="00A11E31"/>
    <w:rsid w:val="00A16C95"/>
    <w:rsid w:val="00A2195C"/>
    <w:rsid w:val="00A24812"/>
    <w:rsid w:val="00A26876"/>
    <w:rsid w:val="00A3246D"/>
    <w:rsid w:val="00A35F64"/>
    <w:rsid w:val="00A37D7E"/>
    <w:rsid w:val="00A40E0B"/>
    <w:rsid w:val="00A47495"/>
    <w:rsid w:val="00A5030E"/>
    <w:rsid w:val="00A53820"/>
    <w:rsid w:val="00A551DF"/>
    <w:rsid w:val="00A5679E"/>
    <w:rsid w:val="00A63B92"/>
    <w:rsid w:val="00A649E0"/>
    <w:rsid w:val="00A67316"/>
    <w:rsid w:val="00A675BA"/>
    <w:rsid w:val="00A678A6"/>
    <w:rsid w:val="00A746B7"/>
    <w:rsid w:val="00A75780"/>
    <w:rsid w:val="00A76945"/>
    <w:rsid w:val="00A8074E"/>
    <w:rsid w:val="00A84C9F"/>
    <w:rsid w:val="00A9024B"/>
    <w:rsid w:val="00A91854"/>
    <w:rsid w:val="00A95B16"/>
    <w:rsid w:val="00AA0570"/>
    <w:rsid w:val="00AA2BED"/>
    <w:rsid w:val="00AA3E88"/>
    <w:rsid w:val="00AA44FB"/>
    <w:rsid w:val="00AA70A4"/>
    <w:rsid w:val="00AC5487"/>
    <w:rsid w:val="00AD1402"/>
    <w:rsid w:val="00AD5E55"/>
    <w:rsid w:val="00AE0094"/>
    <w:rsid w:val="00AE28DD"/>
    <w:rsid w:val="00AE370A"/>
    <w:rsid w:val="00AE433D"/>
    <w:rsid w:val="00AF0C89"/>
    <w:rsid w:val="00AF51AA"/>
    <w:rsid w:val="00AF6469"/>
    <w:rsid w:val="00B00ECD"/>
    <w:rsid w:val="00B05037"/>
    <w:rsid w:val="00B1126C"/>
    <w:rsid w:val="00B13D40"/>
    <w:rsid w:val="00B13E94"/>
    <w:rsid w:val="00B140E6"/>
    <w:rsid w:val="00B15EB7"/>
    <w:rsid w:val="00B20048"/>
    <w:rsid w:val="00B22268"/>
    <w:rsid w:val="00B23F82"/>
    <w:rsid w:val="00B2416E"/>
    <w:rsid w:val="00B2784D"/>
    <w:rsid w:val="00B36068"/>
    <w:rsid w:val="00B46883"/>
    <w:rsid w:val="00B47D3C"/>
    <w:rsid w:val="00B50B0E"/>
    <w:rsid w:val="00B51F0A"/>
    <w:rsid w:val="00B52FF9"/>
    <w:rsid w:val="00B53B34"/>
    <w:rsid w:val="00B5432A"/>
    <w:rsid w:val="00B63144"/>
    <w:rsid w:val="00B6552B"/>
    <w:rsid w:val="00B66278"/>
    <w:rsid w:val="00B66313"/>
    <w:rsid w:val="00B727B9"/>
    <w:rsid w:val="00B77EB8"/>
    <w:rsid w:val="00B811C0"/>
    <w:rsid w:val="00B82176"/>
    <w:rsid w:val="00B87E21"/>
    <w:rsid w:val="00B9102F"/>
    <w:rsid w:val="00B93686"/>
    <w:rsid w:val="00BA12FE"/>
    <w:rsid w:val="00BA43D8"/>
    <w:rsid w:val="00BC3432"/>
    <w:rsid w:val="00BC3D4A"/>
    <w:rsid w:val="00BC7121"/>
    <w:rsid w:val="00BD2F98"/>
    <w:rsid w:val="00BD55A8"/>
    <w:rsid w:val="00BE7888"/>
    <w:rsid w:val="00BF1944"/>
    <w:rsid w:val="00BF26EB"/>
    <w:rsid w:val="00BF51A4"/>
    <w:rsid w:val="00C035C7"/>
    <w:rsid w:val="00C0603C"/>
    <w:rsid w:val="00C07A86"/>
    <w:rsid w:val="00C15E63"/>
    <w:rsid w:val="00C16273"/>
    <w:rsid w:val="00C252C9"/>
    <w:rsid w:val="00C27218"/>
    <w:rsid w:val="00C31D64"/>
    <w:rsid w:val="00C36A24"/>
    <w:rsid w:val="00C41DAA"/>
    <w:rsid w:val="00C42CE5"/>
    <w:rsid w:val="00C45559"/>
    <w:rsid w:val="00C47EB8"/>
    <w:rsid w:val="00C5163D"/>
    <w:rsid w:val="00C521F8"/>
    <w:rsid w:val="00C53BB5"/>
    <w:rsid w:val="00C55FAB"/>
    <w:rsid w:val="00C560F3"/>
    <w:rsid w:val="00C57038"/>
    <w:rsid w:val="00C61C50"/>
    <w:rsid w:val="00C657D6"/>
    <w:rsid w:val="00C71790"/>
    <w:rsid w:val="00C73DCF"/>
    <w:rsid w:val="00C74B86"/>
    <w:rsid w:val="00C80FCD"/>
    <w:rsid w:val="00C84F78"/>
    <w:rsid w:val="00C86E91"/>
    <w:rsid w:val="00C87B89"/>
    <w:rsid w:val="00C91085"/>
    <w:rsid w:val="00CB15B6"/>
    <w:rsid w:val="00CB69ED"/>
    <w:rsid w:val="00CC40E4"/>
    <w:rsid w:val="00CC6D14"/>
    <w:rsid w:val="00CD0EB6"/>
    <w:rsid w:val="00CD1923"/>
    <w:rsid w:val="00CD1BFB"/>
    <w:rsid w:val="00CD2EA4"/>
    <w:rsid w:val="00CD452D"/>
    <w:rsid w:val="00CD560B"/>
    <w:rsid w:val="00CD7556"/>
    <w:rsid w:val="00CE47B4"/>
    <w:rsid w:val="00CF092E"/>
    <w:rsid w:val="00CF7485"/>
    <w:rsid w:val="00D004CC"/>
    <w:rsid w:val="00D223FE"/>
    <w:rsid w:val="00D237A3"/>
    <w:rsid w:val="00D23B0B"/>
    <w:rsid w:val="00D30075"/>
    <w:rsid w:val="00D319A0"/>
    <w:rsid w:val="00D33238"/>
    <w:rsid w:val="00D343DA"/>
    <w:rsid w:val="00D35100"/>
    <w:rsid w:val="00D36819"/>
    <w:rsid w:val="00D404F7"/>
    <w:rsid w:val="00D42468"/>
    <w:rsid w:val="00D45EE1"/>
    <w:rsid w:val="00D47EBF"/>
    <w:rsid w:val="00D505AF"/>
    <w:rsid w:val="00D51AF9"/>
    <w:rsid w:val="00D56526"/>
    <w:rsid w:val="00D57B09"/>
    <w:rsid w:val="00D65F08"/>
    <w:rsid w:val="00D676DD"/>
    <w:rsid w:val="00D87EA3"/>
    <w:rsid w:val="00D97CDB"/>
    <w:rsid w:val="00DA1265"/>
    <w:rsid w:val="00DA33E6"/>
    <w:rsid w:val="00DA3816"/>
    <w:rsid w:val="00DA40CD"/>
    <w:rsid w:val="00DA4EEF"/>
    <w:rsid w:val="00DA68AA"/>
    <w:rsid w:val="00DA7353"/>
    <w:rsid w:val="00DB00DC"/>
    <w:rsid w:val="00DB7199"/>
    <w:rsid w:val="00DC6C53"/>
    <w:rsid w:val="00DC77A2"/>
    <w:rsid w:val="00DD36B7"/>
    <w:rsid w:val="00DD45F0"/>
    <w:rsid w:val="00DD6176"/>
    <w:rsid w:val="00DE00F7"/>
    <w:rsid w:val="00DE4D02"/>
    <w:rsid w:val="00DF0211"/>
    <w:rsid w:val="00DF0BC8"/>
    <w:rsid w:val="00E02BAC"/>
    <w:rsid w:val="00E13E03"/>
    <w:rsid w:val="00E17587"/>
    <w:rsid w:val="00E247AD"/>
    <w:rsid w:val="00E2552D"/>
    <w:rsid w:val="00E25D82"/>
    <w:rsid w:val="00E30EE5"/>
    <w:rsid w:val="00E32473"/>
    <w:rsid w:val="00E40050"/>
    <w:rsid w:val="00E42502"/>
    <w:rsid w:val="00E43AEB"/>
    <w:rsid w:val="00E44945"/>
    <w:rsid w:val="00E508B2"/>
    <w:rsid w:val="00E50A4C"/>
    <w:rsid w:val="00E517ED"/>
    <w:rsid w:val="00E51AE1"/>
    <w:rsid w:val="00E55384"/>
    <w:rsid w:val="00E55B3B"/>
    <w:rsid w:val="00E55F39"/>
    <w:rsid w:val="00E56718"/>
    <w:rsid w:val="00E6008B"/>
    <w:rsid w:val="00E6025D"/>
    <w:rsid w:val="00E60AA7"/>
    <w:rsid w:val="00E61098"/>
    <w:rsid w:val="00E61271"/>
    <w:rsid w:val="00E61ACE"/>
    <w:rsid w:val="00E636C4"/>
    <w:rsid w:val="00E65523"/>
    <w:rsid w:val="00E65655"/>
    <w:rsid w:val="00E67116"/>
    <w:rsid w:val="00E70599"/>
    <w:rsid w:val="00E7088D"/>
    <w:rsid w:val="00E72208"/>
    <w:rsid w:val="00E72E71"/>
    <w:rsid w:val="00E76CF5"/>
    <w:rsid w:val="00E81C52"/>
    <w:rsid w:val="00E8271B"/>
    <w:rsid w:val="00E90529"/>
    <w:rsid w:val="00E97221"/>
    <w:rsid w:val="00EA0DDC"/>
    <w:rsid w:val="00EA33CE"/>
    <w:rsid w:val="00EA7882"/>
    <w:rsid w:val="00EB3ECE"/>
    <w:rsid w:val="00EB5BB2"/>
    <w:rsid w:val="00EB6193"/>
    <w:rsid w:val="00ED112D"/>
    <w:rsid w:val="00ED7779"/>
    <w:rsid w:val="00EF4F08"/>
    <w:rsid w:val="00EF6062"/>
    <w:rsid w:val="00EF6214"/>
    <w:rsid w:val="00F0347E"/>
    <w:rsid w:val="00F1419E"/>
    <w:rsid w:val="00F15A2F"/>
    <w:rsid w:val="00F20F67"/>
    <w:rsid w:val="00F210A0"/>
    <w:rsid w:val="00F23BF7"/>
    <w:rsid w:val="00F246E3"/>
    <w:rsid w:val="00F2575B"/>
    <w:rsid w:val="00F26D58"/>
    <w:rsid w:val="00F30374"/>
    <w:rsid w:val="00F420C8"/>
    <w:rsid w:val="00F43ABD"/>
    <w:rsid w:val="00F45973"/>
    <w:rsid w:val="00F5015F"/>
    <w:rsid w:val="00F5097F"/>
    <w:rsid w:val="00F57983"/>
    <w:rsid w:val="00F60A13"/>
    <w:rsid w:val="00F616AF"/>
    <w:rsid w:val="00F724BB"/>
    <w:rsid w:val="00F75D2A"/>
    <w:rsid w:val="00F773E0"/>
    <w:rsid w:val="00F82459"/>
    <w:rsid w:val="00F83213"/>
    <w:rsid w:val="00F836A0"/>
    <w:rsid w:val="00F86679"/>
    <w:rsid w:val="00F920DE"/>
    <w:rsid w:val="00F94B39"/>
    <w:rsid w:val="00F951B6"/>
    <w:rsid w:val="00FA0504"/>
    <w:rsid w:val="00FA5372"/>
    <w:rsid w:val="00FB124C"/>
    <w:rsid w:val="00FB427A"/>
    <w:rsid w:val="00FB7889"/>
    <w:rsid w:val="00FC64AE"/>
    <w:rsid w:val="00FC75CB"/>
    <w:rsid w:val="00FD495C"/>
    <w:rsid w:val="00FE22F1"/>
    <w:rsid w:val="00FF0436"/>
    <w:rsid w:val="00FF1C1B"/>
    <w:rsid w:val="00FF230B"/>
    <w:rsid w:val="00FF50C7"/>
    <w:rsid w:val="00FF67E6"/>
    <w:rsid w:val="554716EB"/>
    <w:rsid w:val="7BA03C71"/>
  </w:rsids>
  <m:mathPr>
    <m:mathFont m:val="Cambria Math"/>
    <m:brkBin m:val="before"/>
    <m:brkBinSub m:val="--"/>
    <m:smallFrac m:val="0"/>
    <m:dispDef/>
    <m:lMargin m:val="0"/>
    <m:rMargin m:val="0"/>
    <m:defJc m:val="centerGroup"/>
    <m:wrapIndent m:val="1440"/>
    <m:intLim m:val="subSup"/>
    <m:naryLim m:val="undOvr"/>
  </m:mathPr>
  <w:themeFontLang w:val="sk-SK" w:eastAsia="zh-CN"/>
  <w:clrSchemeMapping w:bg1="light1" w:t1="dark1" w:bg2="light2" w:t2="dark2" w:accent1="accent1" w:accent2="accent2" w:accent3="accent3" w:accent4="accent4" w:accent5="accent5" w:accent6="accent6" w:hyperlink="hyperlink" w:followedHyperlink="followedHyperlink"/>
  <w:doNotIncludeSubdocsInStats/>
  <w:doNotEmbedSmartTag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imes New Roman"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0" w:name="index 1"/>
    <w:lsdException w:uiPriority="0" w:name="index 2"/>
    <w:lsdException w:uiPriority="0" w:name="index 3"/>
    <w:lsdException w:uiPriority="0" w:name="index 4"/>
    <w:lsdException w:uiPriority="0" w:name="index 5"/>
    <w:lsdException w:uiPriority="0" w:name="index 6"/>
    <w:lsdException w:uiPriority="0" w:name="index 7"/>
    <w:lsdException w:uiPriority="0" w:name="index 8"/>
    <w:lsdException w:uiPriority="0" w:name="index 9"/>
    <w:lsdException w:uiPriority="0" w:name="toc 1" w:locked="1"/>
    <w:lsdException w:uiPriority="0" w:name="toc 2" w:locked="1"/>
    <w:lsdException w:uiPriority="0" w:name="toc 3" w:locked="1"/>
    <w:lsdException w:uiPriority="0" w:name="toc 4" w:locked="1"/>
    <w:lsdException w:uiPriority="0" w:name="toc 5" w:locked="1"/>
    <w:lsdException w:uiPriority="0" w:name="toc 6" w:locked="1"/>
    <w:lsdException w:uiPriority="0" w:name="toc 7" w:locked="1"/>
    <w:lsdException w:uiPriority="0" w:name="toc 8" w:locked="1"/>
    <w:lsdException w:uiPriority="0" w:name="toc 9" w:locked="1"/>
    <w:lsdException w:uiPriority="0" w:name="Normal Indent"/>
    <w:lsdException w:unhideWhenUsed="0" w:uiPriority="0" w:name="footnote text"/>
    <w:lsdException w:uiPriority="0" w:name="annotation text"/>
    <w:lsdException w:unhideWhenUsed="0" w:uiPriority="0" w:semiHidden="0" w:name="header"/>
    <w:lsdException w:qFormat="1" w:unhideWhenUsed="0" w:uiPriority="99" w:semiHidden="0" w:name="footer"/>
    <w:lsdException w:uiPriority="0" w:name="index heading"/>
    <w:lsdException w:qFormat="1" w:uiPriority="0" w:name="caption" w:locked="1"/>
    <w:lsdException w:uiPriority="0" w:name="table of figures"/>
    <w:lsdException w:uiPriority="0" w:name="envelope address"/>
    <w:lsdException w:uiPriority="0" w:name="envelope return"/>
    <w:lsdException w:unhideWhenUsed="0" w:uiPriority="0" w:name="footnote reference"/>
    <w:lsdException w:uiPriority="0" w:name="annotation reference"/>
    <w:lsdException w:uiPriority="0" w:name="line number"/>
    <w:lsdException w:unhideWhenUsed="0" w:uiPriority="0" w:semiHidden="0" w:name="page number"/>
    <w:lsdException w:uiPriority="0" w:name="endnote reference"/>
    <w:lsdException w:uiPriority="0" w:name="endnote text"/>
    <w:lsdException w:uiPriority="0" w:name="table of authorities"/>
    <w:lsdException w:unhideWhenUsed="0" w:uiPriority="0" w:semiHidden="0" w:name="macro"/>
    <w:lsdException w:uiPriority="0" w:name="toa heading"/>
    <w:lsdException w:uiPriority="0" w:name="List"/>
    <w:lsdException w:unhideWhenUsed="0" w:uiPriority="0" w:semiHidden="0" w:name="List Bullet"/>
    <w:lsdException w:unhideWhenUsed="0" w:uiPriority="0" w:semiHidden="0" w:name="List Number"/>
    <w:lsdException w:uiPriority="0" w:name="List 2"/>
    <w:lsdException w:uiPriority="0" w:name="List 3"/>
    <w:lsdException w:uiPriority="0" w:name="List 4"/>
    <w:lsdException w:uiPriority="0" w:name="List 5"/>
    <w:lsdException w:uiPriority="0" w:name="List Bullet 2"/>
    <w:lsdException w:uiPriority="0" w:name="List Bullet 3"/>
    <w:lsdException w:uiPriority="0" w:name="List Bullet 4"/>
    <w:lsdException w:uiPriority="0" w:name="List Bullet 5"/>
    <w:lsdException w:uiPriority="0" w:name="List Number 2"/>
    <w:lsdException w:uiPriority="0" w:name="List Number 3"/>
    <w:lsdException w:uiPriority="0" w:name="List Number 4"/>
    <w:lsdException w:uiPriority="0" w:name="List Number 5"/>
    <w:lsdException w:qFormat="1" w:unhideWhenUsed="0" w:uiPriority="99" w:semiHidden="0" w:name="Title"/>
    <w:lsdException w:uiPriority="0" w:name="Closing"/>
    <w:lsdException w:uiPriority="0" w:name="Signature"/>
    <w:lsdException w:uiPriority="1" w:name="Default Paragraph Font"/>
    <w:lsdException w:qFormat="1" w:uiPriority="1" w:semiHidden="0" w:name="Body Text"/>
    <w:lsdException w:uiPriority="0" w:name="Body Text Indent"/>
    <w:lsdException w:uiPriority="0" w:name="List Continue"/>
    <w:lsdException w:uiPriority="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ocked="1"/>
    <w:lsdException w:uiPriority="0" w:name="Salutation"/>
    <w:lsdException w:uiPriority="0" w:name="Date"/>
    <w:lsdException w:uiPriority="0" w:name="Body Text First Indent"/>
    <w:lsdException w:uiPriority="0" w:name="Body Text First Indent 2"/>
    <w:lsdException w:uiPriority="0" w:name="Note Heading"/>
    <w:lsdException w:uiPriority="0" w:name="Body Text 2"/>
    <w:lsdException w:uiPriority="0" w:name="Body Text 3"/>
    <w:lsdException w:uiPriority="0" w:name="Body Text Indent 2"/>
    <w:lsdException w:uiPriority="0" w:name="Body Text Indent 3"/>
    <w:lsdException w:uiPriority="0" w:name="Block Text"/>
    <w:lsdException w:uiPriority="0" w:name="Hyperlink"/>
    <w:lsdException w:uiPriority="0" w:name="FollowedHyperlink"/>
    <w:lsdException w:qFormat="1" w:unhideWhenUsed="0" w:uiPriority="0" w:semiHidden="0" w:name="Strong" w:locked="1"/>
    <w:lsdException w:qFormat="1" w:unhideWhenUsed="0" w:uiPriority="0" w:semiHidden="0" w:name="Emphasis" w:locked="1"/>
    <w:lsdException w:uiPriority="0" w:name="Document Map"/>
    <w:lsdException w:uiPriority="0" w:name="Plain Text"/>
    <w:lsdException w:uiPriority="0" w:name="E-mail Signature"/>
    <w:lsdException w:uiPriority="0" w:name="Normal (Web)"/>
    <w:lsdException w:uiPriority="0" w:name="HTML Acronym"/>
    <w:lsdException w:uiPriority="0" w:name="HTML Address"/>
    <w:lsdException w:uiPriority="0" w:name="HTML Cite"/>
    <w:lsdException w:uiPriority="0" w:name="HTML Code"/>
    <w:lsdException w:uiPriority="0" w:name="HTML Definition"/>
    <w:lsdException w:uiPriority="0" w:name="HTML Keyboard"/>
    <w:lsdException w:uiPriority="0" w:name="HTML Preformatted"/>
    <w:lsdException w:uiPriority="0" w:name="HTML Sample"/>
    <w:lsdException w:uiPriority="0" w:name="HTML Typewriter"/>
    <w:lsdException w:uiPriority="0" w:name="HTML Variable"/>
    <w:lsdException w:uiPriority="99" w:name="Normal Table"/>
    <w:lsdException w:uiPriority="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5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sk-SK" w:eastAsia="sk-SK" w:bidi="ar-SA"/>
    </w:rPr>
  </w:style>
  <w:style w:type="paragraph" w:styleId="2">
    <w:name w:val="heading 1"/>
    <w:basedOn w:val="1"/>
    <w:next w:val="3"/>
    <w:link w:val="15"/>
    <w:qFormat/>
    <w:uiPriority w:val="0"/>
    <w:pPr>
      <w:keepNext/>
      <w:numPr>
        <w:ilvl w:val="0"/>
        <w:numId w:val="1"/>
      </w:numPr>
      <w:spacing w:before="240" w:after="60"/>
      <w:jc w:val="center"/>
      <w:outlineLvl w:val="0"/>
    </w:pPr>
    <w:rPr>
      <w:b/>
      <w:bCs/>
      <w:kern w:val="32"/>
    </w:rPr>
  </w:style>
  <w:style w:type="paragraph" w:styleId="3">
    <w:name w:val="heading 2"/>
    <w:basedOn w:val="1"/>
    <w:next w:val="1"/>
    <w:link w:val="16"/>
    <w:qFormat/>
    <w:uiPriority w:val="0"/>
    <w:pPr>
      <w:keepNext/>
      <w:spacing w:after="120"/>
      <w:jc w:val="center"/>
      <w:outlineLvl w:val="1"/>
    </w:pPr>
    <w:rPr>
      <w:rFonts w:ascii="Cambria" w:hAnsi="Cambria"/>
      <w:b/>
      <w:bCs/>
      <w:i/>
      <w:iCs/>
      <w:sz w:val="28"/>
      <w:szCs w:val="28"/>
      <w:lang w:val="zh-CN" w:eastAsia="zh-CN"/>
    </w:rPr>
  </w:style>
  <w:style w:type="character" w:default="1" w:styleId="4">
    <w:name w:val="Default Paragraph Font"/>
    <w:semiHidden/>
    <w:unhideWhenUsed/>
    <w:uiPriority w:val="1"/>
  </w:style>
  <w:style w:type="table" w:default="1" w:styleId="5">
    <w:name w:val="Normal Table"/>
    <w:semiHidden/>
    <w:unhideWhenUsed/>
    <w:uiPriority w:val="99"/>
    <w:tblPr>
      <w:tblCellMar>
        <w:top w:w="0" w:type="dxa"/>
        <w:left w:w="108" w:type="dxa"/>
        <w:bottom w:w="0" w:type="dxa"/>
        <w:right w:w="108" w:type="dxa"/>
      </w:tblCellMar>
    </w:tblPr>
  </w:style>
  <w:style w:type="paragraph" w:styleId="6">
    <w:name w:val="Balloon Text"/>
    <w:basedOn w:val="1"/>
    <w:link w:val="25"/>
    <w:uiPriority w:val="0"/>
    <w:rPr>
      <w:rFonts w:ascii="Segoe UI" w:hAnsi="Segoe UI" w:cs="Segoe UI"/>
      <w:sz w:val="18"/>
      <w:szCs w:val="18"/>
    </w:rPr>
  </w:style>
  <w:style w:type="paragraph" w:styleId="7">
    <w:name w:val="Body Text"/>
    <w:basedOn w:val="1"/>
    <w:link w:val="23"/>
    <w:unhideWhenUsed/>
    <w:qFormat/>
    <w:uiPriority w:val="1"/>
    <w:pPr>
      <w:widowControl w:val="0"/>
      <w:ind w:left="668" w:hanging="567"/>
    </w:pPr>
    <w:rPr>
      <w:lang w:val="en-US" w:eastAsia="en-US"/>
    </w:rPr>
  </w:style>
  <w:style w:type="paragraph" w:styleId="8">
    <w:name w:val="footer"/>
    <w:basedOn w:val="1"/>
    <w:link w:val="19"/>
    <w:qFormat/>
    <w:uiPriority w:val="99"/>
    <w:pPr>
      <w:tabs>
        <w:tab w:val="center" w:pos="4536"/>
        <w:tab w:val="right" w:pos="9072"/>
      </w:tabs>
    </w:pPr>
    <w:rPr>
      <w:lang w:val="zh-CN" w:eastAsia="zh-CN"/>
    </w:rPr>
  </w:style>
  <w:style w:type="character" w:styleId="9">
    <w:name w:val="footnote reference"/>
    <w:semiHidden/>
    <w:uiPriority w:val="0"/>
    <w:rPr>
      <w:vertAlign w:val="superscript"/>
    </w:rPr>
  </w:style>
  <w:style w:type="paragraph" w:styleId="10">
    <w:name w:val="footnote text"/>
    <w:basedOn w:val="1"/>
    <w:link w:val="18"/>
    <w:semiHidden/>
    <w:uiPriority w:val="0"/>
    <w:rPr>
      <w:sz w:val="20"/>
      <w:szCs w:val="20"/>
      <w:lang w:val="zh-CN" w:eastAsia="zh-CN"/>
    </w:rPr>
  </w:style>
  <w:style w:type="paragraph" w:styleId="11">
    <w:name w:val="header"/>
    <w:basedOn w:val="1"/>
    <w:link w:val="22"/>
    <w:uiPriority w:val="0"/>
    <w:pPr>
      <w:tabs>
        <w:tab w:val="center" w:pos="4703"/>
        <w:tab w:val="right" w:pos="9406"/>
      </w:tabs>
    </w:pPr>
  </w:style>
  <w:style w:type="character" w:styleId="12">
    <w:name w:val="page number"/>
    <w:basedOn w:val="4"/>
    <w:uiPriority w:val="0"/>
  </w:style>
  <w:style w:type="table" w:styleId="13">
    <w:name w:val="Table Grid"/>
    <w:basedOn w:val="5"/>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14">
    <w:name w:val="Title"/>
    <w:basedOn w:val="1"/>
    <w:next w:val="1"/>
    <w:link w:val="20"/>
    <w:qFormat/>
    <w:uiPriority w:val="99"/>
    <w:pPr>
      <w:keepNext/>
      <w:spacing w:before="100" w:beforeAutospacing="1" w:after="220"/>
      <w:jc w:val="center"/>
      <w:outlineLvl w:val="0"/>
    </w:pPr>
    <w:rPr>
      <w:rFonts w:ascii="Arial Narrow" w:hAnsi="Arial Narrow"/>
      <w:b/>
      <w:bCs/>
      <w:kern w:val="28"/>
      <w:sz w:val="32"/>
      <w:szCs w:val="32"/>
      <w:lang w:eastAsia="zh-CN"/>
    </w:rPr>
  </w:style>
  <w:style w:type="character" w:customStyle="1" w:styleId="15">
    <w:name w:val="Nadpis 1 Char"/>
    <w:link w:val="2"/>
    <w:locked/>
    <w:uiPriority w:val="0"/>
    <w:rPr>
      <w:b/>
      <w:bCs/>
      <w:kern w:val="32"/>
      <w:sz w:val="24"/>
      <w:szCs w:val="24"/>
      <w:lang w:val="sk-SK" w:eastAsia="sk-SK"/>
    </w:rPr>
  </w:style>
  <w:style w:type="character" w:customStyle="1" w:styleId="16">
    <w:name w:val="Nadpis 2 Char"/>
    <w:link w:val="3"/>
    <w:semiHidden/>
    <w:locked/>
    <w:uiPriority w:val="0"/>
    <w:rPr>
      <w:rFonts w:ascii="Cambria" w:hAnsi="Cambria" w:eastAsia="Times New Roman" w:cs="Cambria"/>
      <w:b/>
      <w:bCs/>
      <w:i/>
      <w:iCs/>
      <w:sz w:val="28"/>
      <w:szCs w:val="28"/>
    </w:rPr>
  </w:style>
  <w:style w:type="paragraph" w:customStyle="1" w:styleId="17">
    <w:name w:val="Základní text"/>
    <w:uiPriority w:val="0"/>
    <w:pPr>
      <w:spacing w:after="240"/>
      <w:jc w:val="both"/>
    </w:pPr>
    <w:rPr>
      <w:rFonts w:ascii="Times New Roman" w:hAnsi="Times New Roman" w:eastAsia="Times New Roman" w:cs="Times New Roman"/>
      <w:color w:val="000000"/>
      <w:sz w:val="24"/>
      <w:szCs w:val="24"/>
      <w:lang w:val="sk-SK" w:eastAsia="sk-SK" w:bidi="ar-SA"/>
    </w:rPr>
  </w:style>
  <w:style w:type="character" w:customStyle="1" w:styleId="18">
    <w:name w:val="Text poznámky pod čiarou Char"/>
    <w:link w:val="10"/>
    <w:semiHidden/>
    <w:locked/>
    <w:uiPriority w:val="0"/>
    <w:rPr>
      <w:sz w:val="20"/>
      <w:szCs w:val="20"/>
    </w:rPr>
  </w:style>
  <w:style w:type="character" w:customStyle="1" w:styleId="19">
    <w:name w:val="Päta Char"/>
    <w:link w:val="8"/>
    <w:locked/>
    <w:uiPriority w:val="99"/>
    <w:rPr>
      <w:sz w:val="24"/>
      <w:szCs w:val="24"/>
    </w:rPr>
  </w:style>
  <w:style w:type="character" w:customStyle="1" w:styleId="20">
    <w:name w:val="Názov Char"/>
    <w:link w:val="14"/>
    <w:locked/>
    <w:uiPriority w:val="99"/>
    <w:rPr>
      <w:rFonts w:ascii="Arial Narrow" w:hAnsi="Arial Narrow" w:cs="Arial Narrow"/>
      <w:b/>
      <w:bCs/>
      <w:kern w:val="28"/>
      <w:sz w:val="32"/>
      <w:szCs w:val="32"/>
      <w:lang w:val="sk-SK" w:eastAsia="zh-CN"/>
    </w:rPr>
  </w:style>
  <w:style w:type="paragraph" w:customStyle="1" w:styleId="21">
    <w:name w:val="Top Header"/>
    <w:basedOn w:val="1"/>
    <w:qFormat/>
    <w:uiPriority w:val="0"/>
    <w:pPr>
      <w:jc w:val="center"/>
    </w:pPr>
    <w:rPr>
      <w:rFonts w:ascii="Arial Narrow" w:hAnsi="Arial Narrow" w:cs="Arial Narrow"/>
      <w:b/>
      <w:bCs/>
      <w:sz w:val="22"/>
      <w:szCs w:val="22"/>
      <w:lang w:eastAsia="en-US"/>
    </w:rPr>
  </w:style>
  <w:style w:type="character" w:customStyle="1" w:styleId="22">
    <w:name w:val="Hlavička Char"/>
    <w:link w:val="11"/>
    <w:locked/>
    <w:uiPriority w:val="0"/>
    <w:rPr>
      <w:sz w:val="24"/>
      <w:szCs w:val="24"/>
      <w:lang w:val="sk-SK" w:eastAsia="sk-SK"/>
    </w:rPr>
  </w:style>
  <w:style w:type="character" w:customStyle="1" w:styleId="23">
    <w:name w:val="Základný text Char"/>
    <w:link w:val="7"/>
    <w:uiPriority w:val="1"/>
    <w:rPr>
      <w:sz w:val="24"/>
      <w:szCs w:val="24"/>
      <w:lang w:val="en-US" w:eastAsia="en-US"/>
    </w:rPr>
  </w:style>
  <w:style w:type="table" w:customStyle="1" w:styleId="24">
    <w:name w:val="Table Normal1"/>
    <w:semiHidden/>
    <w:qFormat/>
    <w:uiPriority w:val="2"/>
    <w:pPr>
      <w:widowControl w:val="0"/>
    </w:pPr>
    <w:rPr>
      <w:rFonts w:ascii="Calibri" w:hAnsi="Calibri" w:eastAsia="Calibri"/>
      <w:sz w:val="22"/>
      <w:szCs w:val="22"/>
      <w:lang w:val="en-US" w:eastAsia="en-US"/>
    </w:rPr>
    <w:tblPr>
      <w:tblCellMar>
        <w:top w:w="0" w:type="dxa"/>
        <w:left w:w="0" w:type="dxa"/>
        <w:bottom w:w="0" w:type="dxa"/>
        <w:right w:w="0" w:type="dxa"/>
      </w:tblCellMar>
    </w:tblPr>
  </w:style>
  <w:style w:type="character" w:customStyle="1" w:styleId="25">
    <w:name w:val="Text bubliny Char"/>
    <w:basedOn w:val="4"/>
    <w:link w:val="6"/>
    <w:uiPriority w:val="0"/>
    <w:rPr>
      <w:rFonts w:ascii="Segoe UI" w:hAnsi="Segoe UI" w:cs="Segoe UI"/>
      <w:sz w:val="18"/>
      <w:szCs w:val="18"/>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customXml" Target="../customXml/item1.xml"/><Relationship Id="rId7"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79295B-2C8E-42AD-9543-FDC364A2AC5D}">
  <ds:schemaRefs/>
</ds:datastoreItem>
</file>

<file path=docProps/app.xml><?xml version="1.0" encoding="utf-8"?>
<Properties xmlns="http://schemas.openxmlformats.org/officeDocument/2006/extended-properties" xmlns:vt="http://schemas.openxmlformats.org/officeDocument/2006/docPropsVTypes">
  <Template>Normal.dotm</Template>
  <Company>MF-SR</Company>
  <Pages>5</Pages>
  <Words>1641</Words>
  <Characters>10184</Characters>
  <Lines>84</Lines>
  <Paragraphs>23</Paragraphs>
  <TotalTime>3</TotalTime>
  <ScaleCrop>false</ScaleCrop>
  <LinksUpToDate>false</LinksUpToDate>
  <CharactersWithSpaces>11802</CharactersWithSpaces>
  <Application>WPS Office_11.2.0.11513_F1E327BC-269C-435d-A152-05C5408002CA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2021-03-11T07:00:00Z</dcterms:created>
  <dc:creator>user</dc:creator>
  <cp:lastModifiedBy>asistent2</cp:lastModifiedBy>
  <cp:lastPrinted>2016-03-12T15:52:00Z</cp:lastPrinted>
  <dcterms:modified xsi:type="dcterms:W3CDTF">2023-03-28T12:40:06Z</dcterms:modified>
  <dc:title>Návrh</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1033-11.2.0.11513</vt:lpwstr>
  </property>
  <property fmtid="{D5CDD505-2E9C-101B-9397-08002B2CF9AE}" pid="3" name="ICV">
    <vt:lpwstr>BCE1A464BA13494595A798C54DE60DDA</vt:lpwstr>
  </property>
</Properties>
</file>