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 Všeobecné údaje o účtovnej jednotke</w:t>
      </w:r>
    </w:p>
    <w:p w:rsidR="00F61B0E" w:rsidRDefault="00200D67">
      <w:pPr>
        <w:pStyle w:val="Nadpis1"/>
        <w:spacing w:after="388"/>
        <w:ind w:left="-5"/>
      </w:pPr>
      <w:r>
        <w:t>Čl. I (1) , (3) Všeobecné údaje</w:t>
      </w:r>
    </w:p>
    <w:p w:rsidR="00F61B0E" w:rsidRDefault="00424686" w:rsidP="00424686">
      <w:pPr>
        <w:spacing w:after="534"/>
        <w:ind w:left="0" w:firstLine="0"/>
      </w:pPr>
      <w:r>
        <w:t xml:space="preserve">Názov </w:t>
      </w:r>
      <w:r w:rsidR="00200D67">
        <w:t>Čl. I (1) Obchodné meno účtovnej jednotky:</w:t>
      </w:r>
      <w:r w:rsidR="00D972C9">
        <w:t xml:space="preserve">        S.C.PERLIGHT.SK s.t.o.</w:t>
      </w:r>
      <w:r>
        <w:t>.</w:t>
      </w:r>
    </w:p>
    <w:p w:rsidR="00F61B0E" w:rsidRDefault="00D972C9">
      <w:pPr>
        <w:spacing w:after="524"/>
        <w:ind w:left="2318" w:right="5541" w:firstLine="1253"/>
      </w:pPr>
      <w:r>
        <w:t xml:space="preserve">Sídlo: Južná Trieda 4B,  04014 Košice – mestská časť </w:t>
      </w:r>
      <w:bookmarkStart w:id="0" w:name="_GoBack"/>
      <w:bookmarkEnd w:id="0"/>
      <w:r>
        <w:t xml:space="preserve"> JUH</w:t>
      </w:r>
    </w:p>
    <w:p w:rsidR="00424686" w:rsidRDefault="00424686">
      <w:pPr>
        <w:spacing w:after="337"/>
        <w:ind w:left="0" w:right="7062" w:firstLine="3571"/>
      </w:pPr>
    </w:p>
    <w:p w:rsidR="00F61B0E" w:rsidRDefault="00200D67">
      <w:pPr>
        <w:spacing w:after="337"/>
        <w:ind w:left="0" w:right="7062" w:firstLine="3571"/>
      </w:pPr>
      <w:r>
        <w:t>I (3) Priemerný počet zamestnancov:</w:t>
      </w:r>
      <w:r w:rsidR="00424686">
        <w:t xml:space="preserve">            2</w:t>
      </w:r>
    </w:p>
    <w:p w:rsidR="00F61B0E" w:rsidRDefault="00200D67">
      <w:pPr>
        <w:pStyle w:val="Nadpis1"/>
        <w:ind w:left="-5"/>
      </w:pPr>
      <w:r>
        <w:t>Čl. I (2) Údaje o konsolidovanom celku</w:t>
      </w:r>
    </w:p>
    <w:p w:rsidR="00F61B0E" w:rsidRDefault="00200D67">
      <w:pPr>
        <w:spacing w:after="407"/>
        <w:ind w:right="68"/>
      </w:pPr>
      <w:r>
        <w:t>Čl I (2) a) Obchod. meno a sídlo konsolidovanej účtovnej jednotky, ktorá zostavuje konsolidovanú účtovnú závierku za tú skupinu účtovných jednotliek konsolidovaného celku, ktorého súčasťou je aj účtovná jednotka:</w:t>
      </w:r>
    </w:p>
    <w:p w:rsidR="00F61B0E" w:rsidRDefault="00200D67">
      <w:pPr>
        <w:spacing w:after="430"/>
        <w:ind w:left="701" w:right="68"/>
      </w:pPr>
      <w:r>
        <w:t>Obchod. meno a sídlo účtovnej jednotky, ktorá je bezprostredne konsolidujúcou účtovnou jednotkou:</w:t>
      </w:r>
    </w:p>
    <w:p w:rsidR="00F61B0E" w:rsidRDefault="00200D67">
      <w:pPr>
        <w:spacing w:after="181"/>
        <w:ind w:right="68"/>
      </w:pPr>
      <w:r>
        <w:t>Čl. I (2) b) Účtovná jednotka je materskou účtovnou jednotkou</w:t>
      </w:r>
    </w:p>
    <w:p w:rsidR="00F61B0E" w:rsidRDefault="00200D67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1" name="Group 113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67" name="Shape 1506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68" name="Shape 1506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1" style="width:9.75pt;height:9.75pt;mso-position-horizontal-relative:char;mso-position-vertical-relative:line" coordsize="1238,1238">
                <v:shape id="Shape 1506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2" name="Group 113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1" name="Shape 1507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72" name="Shape 1507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" name="Shape 108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2" style="width:9.75pt;height:9.75pt;mso-position-horizontal-relative:char;mso-position-vertical-relative:line" coordsize="1238,1238">
                <v:shape id="Shape 1507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8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spacing w:after="181"/>
        <w:ind w:left="701" w:right="68"/>
      </w:pPr>
      <w:r>
        <w:t>Účtovná jednotka je oslobodená od povinnosti zostaviť konsolidovanú účtovnú závierku a konsolidovanú výročnú správu podľa § 22</w:t>
      </w:r>
    </w:p>
    <w:p w:rsidR="00F61B0E" w:rsidRDefault="00200D67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3" name="Group 113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5" name="Shape 1507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76" name="Shape 1507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" name="Shape 113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3" style="width:9.75pt;height:9.75pt;mso-position-horizontal-relative:char;mso-position-vertical-relative:line" coordsize="1238,1238">
                <v:shape id="Shape 1507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13" style="position:absolute;width:687;height:687;left:275;top:275;" coordsize="68791,68791" path="m68791,0l68791,27517l27516,68791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4" name="Group 113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9" name="Shape 1507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80" name="Shape 1508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4" style="width:9.75pt;height:9.75pt;mso-position-horizontal-relative:char;mso-position-vertical-relative:line" coordsize="1238,1238">
                <v:shape id="Shape 1508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8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numPr>
          <w:ilvl w:val="0"/>
          <w:numId w:val="1"/>
        </w:numPr>
        <w:spacing w:after="456" w:line="265" w:lineRule="auto"/>
        <w:ind w:left="502" w:right="89" w:hanging="156"/>
      </w:pPr>
      <w:r>
        <w:t>Obchodné meno a sídlo materskej účtovnej jednotky zostavujúcej konsolidovanú účtovnú závierku podľa osobitných predpisov pri oslobodení podľa § 22 ods. 8:</w:t>
      </w:r>
    </w:p>
    <w:p w:rsidR="00F61B0E" w:rsidRDefault="00200D67">
      <w:pPr>
        <w:numPr>
          <w:ilvl w:val="0"/>
          <w:numId w:val="1"/>
        </w:numPr>
        <w:spacing w:after="424"/>
        <w:ind w:left="502" w:right="89" w:hanging="156"/>
      </w:pPr>
      <w:r>
        <w:t>Obchodné meno a sídlo dcérskych účtovných jednotiek pri oslobodení podľa § 22 ods. 12:</w:t>
      </w:r>
    </w:p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II Informácie o prijatých postupoch</w:t>
      </w:r>
    </w:p>
    <w:p w:rsidR="00F61B0E" w:rsidRDefault="00200D67">
      <w:pPr>
        <w:pStyle w:val="Nadpis1"/>
        <w:ind w:left="-5"/>
      </w:pPr>
      <w:r>
        <w:t>Čl. II (1) Nepretržité pokračovanie účtovnej jednotky</w:t>
      </w:r>
    </w:p>
    <w:p w:rsidR="00F61B0E" w:rsidRDefault="00200D67">
      <w:pPr>
        <w:spacing w:after="310"/>
        <w:ind w:right="68"/>
      </w:pPr>
      <w:r>
        <w:t>Čl. II (1) Účtovná závierka je zostavená za splnenia predpokladu, že účtovná jednotka bude nepretržite pokračovať vo svojej činnosti:</w:t>
      </w:r>
    </w:p>
    <w:p w:rsidR="00F61B0E" w:rsidRDefault="00200D67">
      <w:pPr>
        <w:tabs>
          <w:tab w:val="center" w:pos="784"/>
          <w:tab w:val="center" w:pos="2262"/>
        </w:tabs>
        <w:spacing w:after="303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5" name="Group 113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87" name="Shape 1508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88" name="Shape 1508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123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5" style="width:9.75pt;height:9.75pt;mso-position-horizontal-relative:char;mso-position-vertical-relative:line" coordsize="1238,1238">
                <v:shape id="Shape 1508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9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23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6" name="Group 113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91" name="Shape 1509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2" name="Shape 1509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6" style="width:9.75pt;height:9.75pt;mso-position-horizontal-relative:char;mso-position-vertical-relative:line" coordsize="1238,1238">
                <v:shape id="Shape 1509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9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pStyle w:val="Nadpis1"/>
        <w:spacing w:after="107"/>
        <w:ind w:left="-5"/>
      </w:pPr>
      <w:r>
        <w:t>Čl. II (2) Spôsob oceňovania jednotlivých položiek majetku a záväzkov</w:t>
      </w:r>
    </w:p>
    <w:p w:rsidR="00F61B0E" w:rsidRDefault="00200D67">
      <w:pPr>
        <w:spacing w:after="286"/>
        <w:ind w:right="68"/>
      </w:pPr>
      <w:r>
        <w:t>Účtovná jednotka nemá dlhodobý nehmotný majetok.</w:t>
      </w:r>
    </w:p>
    <w:p w:rsidR="00F61B0E" w:rsidRDefault="00200D67">
      <w:pPr>
        <w:ind w:right="68"/>
      </w:pPr>
      <w:r>
        <w:t>Čl. II (2) Spôsob oceňovania jednotlivých položiek majetku a záväzkov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3452"/>
        <w:gridCol w:w="2761"/>
      </w:tblGrid>
      <w:tr w:rsidR="00F61B0E">
        <w:trPr>
          <w:trHeight w:val="338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Popis položky</w:t>
            </w:r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F61B0E">
        <w:trPr>
          <w:trHeight w:val="303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Dlhodobý nehmotný majetok</w:t>
            </w:r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424686">
            <w:pPr>
              <w:spacing w:after="160" w:line="259" w:lineRule="auto"/>
              <w:ind w:left="0" w:right="0" w:firstLine="0"/>
            </w:pPr>
            <w:r>
              <w:t>V obstarávacích cenách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lastRenderedPageBreak/>
              <w:t>Dlhodobý hmotný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EF67EA">
            <w:pPr>
              <w:spacing w:after="160" w:line="259" w:lineRule="auto"/>
              <w:ind w:left="0" w:right="0" w:firstLine="0"/>
            </w:pPr>
            <w:r>
              <w:t>50140,00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Dlhodobý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Zásoby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EF67EA">
            <w:pPr>
              <w:spacing w:after="160" w:line="259" w:lineRule="auto"/>
              <w:ind w:left="0" w:right="0" w:firstLine="0"/>
            </w:pPr>
            <w:r>
              <w:t>2225,00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Pohľadávky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Krátkodobý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Záväzky vrátane rezerv, dlhopisov, pôžičiek, úverov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EF67EA">
            <w:pPr>
              <w:spacing w:after="160" w:line="259" w:lineRule="auto"/>
              <w:ind w:left="0" w:right="0" w:firstLine="0"/>
            </w:pPr>
            <w:r>
              <w:t>20769,72</w:t>
            </w: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Derivátové operácie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 (2) Spôsob oceňovania jednotlivých položiek majetku a záväzkov (účtovanie a úbytok zásob)</w:t>
      </w:r>
    </w:p>
    <w:p w:rsidR="00F61B0E" w:rsidRDefault="00200D67">
      <w:pPr>
        <w:spacing w:after="401"/>
        <w:ind w:right="68"/>
      </w:pPr>
      <w:r>
        <w:t>Čl. II (2) Spôsob oceňovania jednotlivých položiek majetku a záväzkov (účtovanie a úbytok zásob)</w:t>
      </w:r>
    </w:p>
    <w:p w:rsidR="00F61B0E" w:rsidRDefault="00200D67">
      <w:pPr>
        <w:spacing w:after="358"/>
        <w:ind w:right="68"/>
      </w:pPr>
      <w:r>
        <w:t>Pri účtovaní zásob postupovala účtovná jednotka podľa § 43 postupov účtovania v PÚ:</w:t>
      </w:r>
    </w:p>
    <w:p w:rsidR="00FA36C1" w:rsidRDefault="00FA36C1">
      <w:pPr>
        <w:spacing w:after="358"/>
        <w:ind w:right="68"/>
      </w:pPr>
      <w:r>
        <w:t>Účtovná jednotka pri účtovaní zásob uplatňuje spôsob A účtovania zásob.</w:t>
      </w:r>
    </w:p>
    <w:p w:rsidR="00F61B0E" w:rsidRDefault="00200D67">
      <w:pPr>
        <w:spacing w:after="287" w:line="538" w:lineRule="auto"/>
        <w:ind w:left="615" w:right="7578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352425"/>
                <wp:effectExtent l="0" t="0" r="0" b="0"/>
                <wp:wrapSquare wrapText="bothSides"/>
                <wp:docPr id="13249" name="Group 132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15095" name="Shape 1509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6" name="Shape 1509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7" name="Shape 1509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8" name="Shape 1509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249" style="width:9.75pt;height:27.75pt;position:absolute;mso-position-horizontal-relative:text;mso-position-horizontal:absolute;margin-left:30.24pt;mso-position-vertical-relative:text;margin-top:-0.964905pt;" coordsize="1238,3524">
                <v:shape id="Shape 15099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00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0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0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spôsobom A účtovania zásob spôsobom B účtovania zásob</w:t>
      </w:r>
    </w:p>
    <w:p w:rsidR="00F61B0E" w:rsidRDefault="00200D67">
      <w:pPr>
        <w:spacing w:after="402"/>
        <w:ind w:right="68"/>
      </w:pPr>
      <w:r>
        <w:t>Úbytok zásob rovnakého druhu účtovná jednotka oceňovala:</w:t>
      </w:r>
    </w:p>
    <w:p w:rsidR="00F61B0E" w:rsidRDefault="00200D67">
      <w:pPr>
        <w:spacing w:after="111" w:line="570" w:lineRule="auto"/>
        <w:ind w:left="615" w:right="3663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608457"/>
                <wp:effectExtent l="0" t="0" r="0" b="0"/>
                <wp:wrapSquare wrapText="bothSides"/>
                <wp:docPr id="13248" name="Group 132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15103" name="Shape 15103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4" name="Shape 15104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5" name="Shape 1510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6" name="Shape 1510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7" name="Shape 1510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8" name="Shape 1510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248" style="width:9.75pt;height:47.91pt;position:absolute;mso-position-horizontal-relative:text;mso-position-horizontal:absolute;margin-left:30.24pt;mso-position-vertical-relative:text;margin-top:-0.964874pt;" coordsize="1238,6084">
                <v:shape id="Shape 15109" style="position:absolute;width:1238;height:1238;left:0;top:484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0" style="position:absolute;width:1047;height:1047;left:95;top:494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11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2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1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váženým aritmetickým priemerom z obstarávacích cien alebo vlastných nákladov metódou FIFO (1. cena na ocenenie prírastku zásob sa použila ako 1. cena na ocenenie úbytku zásob) iným spôsobom:</w:t>
      </w:r>
    </w:p>
    <w:p w:rsidR="00F61B0E" w:rsidRDefault="00200D67">
      <w:pPr>
        <w:pStyle w:val="Nadpis1"/>
        <w:spacing w:after="107"/>
        <w:ind w:left="-5"/>
      </w:pPr>
      <w:r>
        <w:t>Čl. II (3) Spôsob zostavenia odpisového plánu pre jednotlivé druhy dlhodobého majetku</w:t>
      </w:r>
    </w:p>
    <w:p w:rsidR="00F61B0E" w:rsidRDefault="00200D67">
      <w:pPr>
        <w:spacing w:after="286"/>
        <w:ind w:right="68"/>
      </w:pPr>
      <w:r>
        <w:t>Účtovn</w:t>
      </w:r>
      <w:r w:rsidR="00FA36C1">
        <w:t>á jednotka odpisuje dlhodobý hmotný majetok rovnomerne.</w:t>
      </w:r>
    </w:p>
    <w:p w:rsidR="00F61B0E" w:rsidRDefault="00200D67">
      <w:pPr>
        <w:spacing w:after="198"/>
        <w:ind w:right="68"/>
      </w:pPr>
      <w:r>
        <w:t>Čl. II (3) Spôsob zostavenia odpisového plánu pre jednotlivé druhy dlhodobého majetku</w:t>
      </w:r>
    </w:p>
    <w:p w:rsidR="00F61B0E" w:rsidRDefault="00200D67">
      <w:pPr>
        <w:spacing w:after="204"/>
        <w:ind w:left="2540" w:right="68" w:hanging="254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5711</wp:posOffset>
                </wp:positionV>
                <wp:extent cx="123825" cy="892513"/>
                <wp:effectExtent l="0" t="0" r="9525" b="3175"/>
                <wp:wrapSquare wrapText="bothSides"/>
                <wp:docPr id="13250" name="Group 132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92513"/>
                          <a:chOff x="0" y="0"/>
                          <a:chExt cx="123825" cy="892513"/>
                        </a:xfrm>
                      </wpg:grpSpPr>
                      <wps:wsp>
                        <wps:cNvPr id="15115" name="Shape 1511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6" name="Shape 1511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FA36C1" w:rsidRDefault="00FA36C1" w:rsidP="00FA36C1">
                              <w:pPr>
                                <w:ind w:left="0"/>
                                <w:jc w:val="center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/>
                      </wps:wsp>
                      <wps:wsp>
                        <wps:cNvPr id="15117" name="Shape 15117"/>
                        <wps:cNvSpPr/>
                        <wps:spPr>
                          <a:xfrm>
                            <a:off x="0" y="43545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8" name="Shape 15118"/>
                        <wps:cNvSpPr/>
                        <wps:spPr>
                          <a:xfrm>
                            <a:off x="9525" y="44498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9" name="Shape 15119"/>
                        <wps:cNvSpPr/>
                        <wps:spPr>
                          <a:xfrm>
                            <a:off x="0" y="76868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20" name="Shape 15120"/>
                        <wps:cNvSpPr/>
                        <wps:spPr>
                          <a:xfrm>
                            <a:off x="9525" y="77821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3250" o:spid="_x0000_s1026" style="position:absolute;left:0;text-align:left;margin-left:0;margin-top:.45pt;width:9.75pt;height:70.3pt;z-index:251660288;mso-position-horizontal:left;mso-position-horizontal-relative:margin" coordsize="1238,8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">
                <v:shape id="Shape 15115" o:spid="_x0000_s1027" style="position:absolute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16" o:spid="_x0000_s1028" style="position:absolute;left:95;top:95;width:1048;height:1048;visibility:visible;mso-wrap-style:square;v-text-anchor:top" coordsize="104775,10477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" adj="-11796480,,5400" path="m,l104775,r,104775l,104775,,e" stroked="f" strokeweight="0">
                  <v:stroke miterlimit="83231f" joinstyle="miter"/>
                  <v:formulas/>
                  <v:path arrowok="t" o:connecttype="custom" textboxrect="0,0,104775,104775"/>
                  <v:textbox>
                    <w:txbxContent>
                      <w:p w:rsidR="00FA36C1" w:rsidRDefault="00FA36C1" w:rsidP="00FA36C1">
                        <w:pPr>
                          <w:ind w:left="0"/>
                          <w:jc w:val="center"/>
                        </w:pPr>
                        <w:r>
                          <w:t>x</w:t>
                        </w:r>
                      </w:p>
                    </w:txbxContent>
                  </v:textbox>
                </v:shape>
                <v:shape id="Shape 15117" o:spid="_x0000_s1029" style="position:absolute;top:4354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18" o:spid="_x0000_s1030" style="position:absolute;left:95;top:4449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15119" o:spid="_x0000_s1031" style="position:absolute;top:7686;width:1238;height:1239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20" o:spid="_x0000_s1032" style="position:absolute;left:95;top:7782;width:1048;height:1047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" path="m,l104775,r,104775l,104775,,e" stroked="f" strokeweight="0">
                  <v:stroke miterlimit="83231f" joinstyle="miter"/>
                  <v:path arrowok="t" textboxrect="0,0,104775,104775"/>
                </v:shape>
                <w10:wrap type="square" anchorx="margin"/>
              </v:group>
            </w:pict>
          </mc:Fallback>
        </mc:AlternateContent>
      </w:r>
      <w:r>
        <w:t>Dlhodobý nehmotný majetok:</w:t>
      </w:r>
      <w: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F61B0E" w:rsidRDefault="00200D67">
      <w:pPr>
        <w:tabs>
          <w:tab w:val="center" w:pos="1054"/>
          <w:tab w:val="center" w:pos="6543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t>Dlhodobý hmotný majetok:</w:t>
      </w:r>
      <w:r>
        <w:tab/>
        <w:t>odpisový plán účtovných odpisov sa zostavil interným predpisom, v ktorom sa vychádzalo z predpokladaného opotrebenia</w:t>
      </w:r>
    </w:p>
    <w:p w:rsidR="00F61B0E" w:rsidRDefault="00200D67">
      <w:pPr>
        <w:spacing w:after="200" w:line="265" w:lineRule="auto"/>
        <w:ind w:right="638"/>
        <w:jc w:val="right"/>
      </w:pPr>
      <w:r>
        <w:t>zaraďovaného majetku zodpovedajúceho bežným podmienkam jeho používania. Účtovné a daňové odpisy sa nerovnajú.</w:t>
      </w:r>
    </w:p>
    <w:p w:rsidR="00F61B0E" w:rsidRDefault="00200D67">
      <w:pPr>
        <w:spacing w:after="190"/>
        <w:ind w:left="2540" w:right="68" w:hanging="2540"/>
      </w:pPr>
      <w:r>
        <w:t>Dlhodobý hmotný majetok:</w:t>
      </w:r>
      <w:r>
        <w:tab/>
        <w:t>odpisový plán účtovných odpisov sa zostavil interným predpisom, v ktorom sa vychádzalo z metód používaných pri vyčíslovaní daňových odpisov. Účtovné a daňové odpisy sa rovnajú.</w:t>
      </w:r>
    </w:p>
    <w:p w:rsidR="00F61B0E" w:rsidRDefault="00200D67">
      <w:pPr>
        <w:spacing w:after="271"/>
        <w:ind w:right="68"/>
      </w:pPr>
      <w:r>
        <w:t>Odpisový plán bol ovplyvnený týmito skutočnosťami:</w:t>
      </w:r>
    </w:p>
    <w:p w:rsidR="00F61B0E" w:rsidRDefault="00200D67">
      <w:pPr>
        <w:spacing w:after="0"/>
        <w:ind w:right="68"/>
      </w:pPr>
      <w:r>
        <w:t>Spôsob zostavenia odpisového plánu pre jednotlivé druhy dlhodobého nehmotného a hmotného majetku</w:t>
      </w:r>
    </w:p>
    <w:tbl>
      <w:tblPr>
        <w:tblStyle w:val="TableGrid"/>
        <w:tblW w:w="11018" w:type="dxa"/>
        <w:tblInd w:w="11" w:type="dxa"/>
        <w:tblCellMar>
          <w:top w:w="30" w:type="dxa"/>
          <w:bottom w:w="35" w:type="dxa"/>
          <w:right w:w="113" w:type="dxa"/>
        </w:tblCellMar>
        <w:tblLook w:val="04A0" w:firstRow="1" w:lastRow="0" w:firstColumn="1" w:lastColumn="0" w:noHBand="0" w:noVBand="1"/>
      </w:tblPr>
      <w:tblGrid>
        <w:gridCol w:w="3917"/>
        <w:gridCol w:w="2367"/>
        <w:gridCol w:w="592"/>
        <w:gridCol w:w="1775"/>
        <w:gridCol w:w="296"/>
        <w:gridCol w:w="2071"/>
      </w:tblGrid>
      <w:tr w:rsidR="00F61B0E">
        <w:trPr>
          <w:trHeight w:val="330"/>
        </w:trPr>
        <w:tc>
          <w:tcPr>
            <w:tcW w:w="3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Doba odpisovania</w:t>
            </w:r>
          </w:p>
        </w:tc>
        <w:tc>
          <w:tcPr>
            <w:tcW w:w="5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59" w:right="0" w:firstLine="0"/>
            </w:pPr>
            <w:r>
              <w:rPr>
                <w:b/>
              </w:rPr>
              <w:t>Sadzba odpisov</w:t>
            </w:r>
          </w:p>
        </w:tc>
        <w:tc>
          <w:tcPr>
            <w:tcW w:w="2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300" w:right="0" w:firstLine="0"/>
            </w:pPr>
            <w:r>
              <w:rPr>
                <w:b/>
              </w:rPr>
              <w:t>Odpisová metóda</w:t>
            </w:r>
          </w:p>
        </w:tc>
      </w:tr>
      <w:tr w:rsidR="00F61B0E">
        <w:trPr>
          <w:trHeight w:val="1895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 w:rsidR="00F61B0E" w:rsidRDefault="00200D67">
            <w:pPr>
              <w:spacing w:after="97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t>Čl. II (4) Zmeny účtovných zásad a zmeny účtovných metód</w:t>
            </w:r>
          </w:p>
          <w:p w:rsidR="00F61B0E" w:rsidRDefault="00200D67">
            <w:pPr>
              <w:spacing w:after="287" w:line="259" w:lineRule="auto"/>
              <w:ind w:left="-11" w:right="0" w:firstLine="0"/>
            </w:pPr>
            <w:r>
              <w:t>Neboli zmeny účtovných zásad a zmeny účtovných metód</w:t>
            </w:r>
          </w:p>
          <w:p w:rsidR="00F61B0E" w:rsidRDefault="00200D67">
            <w:pPr>
              <w:spacing w:after="330" w:line="259" w:lineRule="auto"/>
              <w:ind w:left="-11" w:right="0" w:firstLine="0"/>
            </w:pPr>
            <w:r>
              <w:t>Čl. II (4) Zmeny účtovných zásad a zmeny účtovných metód</w:t>
            </w:r>
          </w:p>
          <w:p w:rsidR="00F61B0E" w:rsidRDefault="00200D67">
            <w:pPr>
              <w:spacing w:after="0" w:line="259" w:lineRule="auto"/>
              <w:ind w:left="-11" w:right="0" w:firstLine="0"/>
            </w:pPr>
            <w:r>
              <w:t>Účtovné metódy a zásady boli aplikované v rámci plat. zákona o účtovníctve, s osobitosťami: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382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lastRenderedPageBreak/>
              <w:t>Druh zmeny zásady alebo metódy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:rsidR="00F61B0E" w:rsidRDefault="00200D67">
            <w:pPr>
              <w:spacing w:after="0" w:line="259" w:lineRule="auto"/>
              <w:ind w:left="580" w:right="0" w:firstLine="0"/>
            </w:pPr>
            <w:r>
              <w:rPr>
                <w:b/>
              </w:rPr>
              <w:t>Dôvod zmeny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Hodnota vplyvu na prísl.</w:t>
            </w:r>
          </w:p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zložku bilancie</w:t>
            </w:r>
          </w:p>
        </w:tc>
      </w:tr>
    </w:tbl>
    <w:p w:rsidR="00F61B0E" w:rsidRDefault="00200D67">
      <w:pPr>
        <w:pStyle w:val="Nadpis1"/>
        <w:ind w:left="-5"/>
      </w:pPr>
      <w:r>
        <w:t>Čl. II (5) Informácie o dotáciách a ich ocenenie v účtovníctve</w:t>
      </w:r>
    </w:p>
    <w:p w:rsidR="00F61B0E" w:rsidRDefault="00200D67">
      <w:pPr>
        <w:spacing w:after="286"/>
        <w:ind w:right="68"/>
      </w:pPr>
      <w:r>
        <w:t>Účtovná jednotka</w:t>
      </w:r>
      <w:r w:rsidR="004110B1">
        <w:t xml:space="preserve"> </w:t>
      </w:r>
      <w:r>
        <w:t>čerpala dotácie.</w:t>
      </w:r>
    </w:p>
    <w:p w:rsidR="00F61B0E" w:rsidRDefault="00200D67">
      <w:pPr>
        <w:ind w:right="68"/>
      </w:pPr>
      <w:r>
        <w:t>Čl. II (5) Informácie o dotáciách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F61B0E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Dotácia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Ocenenie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Výška dotácie</w:t>
            </w:r>
          </w:p>
        </w:tc>
      </w:tr>
      <w:tr w:rsidR="00424686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4110B1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Poľnohospodárska platobná agentúra PPA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424686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EF67EA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51247,14</w:t>
            </w:r>
          </w:p>
        </w:tc>
      </w:tr>
    </w:tbl>
    <w:p w:rsidR="00F61B0E" w:rsidRDefault="00200D67">
      <w:pPr>
        <w:pStyle w:val="Nadpis1"/>
        <w:spacing w:after="117"/>
        <w:ind w:left="-5"/>
      </w:pPr>
      <w:r>
        <w:t>Čl. II (6) Informácie o oprave významných chýb minulých účtovných období účtovaných v bežnom účtovnom období</w:t>
      </w:r>
    </w:p>
    <w:p w:rsidR="00F61B0E" w:rsidRDefault="00200D67">
      <w:pPr>
        <w:spacing w:after="286"/>
        <w:ind w:right="68"/>
      </w:pPr>
      <w:r>
        <w:t>Neboli významné chyby</w:t>
      </w:r>
    </w:p>
    <w:p w:rsidR="00F61B0E" w:rsidRDefault="00200D67">
      <w:pPr>
        <w:ind w:right="68"/>
      </w:pPr>
      <w:r>
        <w:t>Čl. II (6)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14" w:type="dxa"/>
          <w:right w:w="113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F61B0E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Popis významnej chyby</w:t>
            </w:r>
          </w:p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  <w:p w:rsidR="0025026C" w:rsidRDefault="0025026C" w:rsidP="0025026C">
            <w:pPr>
              <w:spacing w:after="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neuhradenú stratu minulých rokov</w:t>
            </w:r>
          </w:p>
        </w:tc>
      </w:tr>
      <w:tr w:rsidR="0025026C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25026C" w:rsidRDefault="0025026C" w:rsidP="00EF67EA">
            <w:pPr>
              <w:spacing w:after="0" w:line="259" w:lineRule="auto"/>
              <w:ind w:left="0" w:right="0" w:firstLine="0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5026C" w:rsidRDefault="0025026C" w:rsidP="00EF67EA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</w:tr>
    </w:tbl>
    <w:p w:rsidR="00F61B0E" w:rsidRDefault="00200D67">
      <w:pPr>
        <w:pStyle w:val="Nadpis1"/>
        <w:spacing w:after="117"/>
        <w:ind w:left="-5"/>
      </w:pPr>
      <w:r>
        <w:t>Čl. II (6) Informácie o oprave nevýznamných chýb minulých účtovných období účtovaných v bežnom účtovnom období</w:t>
      </w:r>
    </w:p>
    <w:p w:rsidR="00F61B0E" w:rsidRDefault="00200D67">
      <w:pPr>
        <w:spacing w:after="286"/>
        <w:ind w:right="68"/>
      </w:pPr>
      <w:r>
        <w:t>Neboli nevýznamné chyby</w:t>
      </w:r>
    </w:p>
    <w:p w:rsidR="00F61B0E" w:rsidRDefault="00200D67">
      <w:pPr>
        <w:ind w:right="68"/>
      </w:pPr>
      <w:r>
        <w:t>Čl. II (6)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31" w:type="dxa"/>
          <w:right w:w="115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F61B0E">
        <w:trPr>
          <w:trHeight w:val="382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Vplyv na výsledok hospodárenia v</w:t>
            </w:r>
          </w:p>
          <w:p w:rsidR="00F61B0E" w:rsidRDefault="00200D67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BO</w:t>
            </w:r>
          </w:p>
        </w:tc>
      </w:tr>
    </w:tbl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III Informácie, ktoré vysvetľujú a dopĺňajú súvahu a výkaz ziskov a strát</w:t>
      </w:r>
    </w:p>
    <w:p w:rsidR="00F61B0E" w:rsidRDefault="00200D67">
      <w:pPr>
        <w:pStyle w:val="Nadpis1"/>
        <w:ind w:left="-5"/>
      </w:pPr>
      <w:r>
        <w:t>Čl. III (1) Náklady/výnosy, ktoré majú výnimočný rozsah alebo výskyt</w:t>
      </w:r>
    </w:p>
    <w:p w:rsidR="00F61B0E" w:rsidRDefault="00200D67">
      <w:pPr>
        <w:ind w:right="68"/>
      </w:pPr>
      <w:r>
        <w:t>Čl. III (1) Náklady/výnosy, ktoré majú výnimočný rozsah alebo výskyt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F61B0E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Náklady / Výnosy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Dôvod vzniku</w:t>
            </w:r>
          </w:p>
        </w:tc>
      </w:tr>
      <w:tr w:rsidR="00F61B0E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Výnosy z predaja podniku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Výnosy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Náklady z predaja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Náklady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Škody z dôvodu živelných pohrôm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(2) a) Celková suma záväzkov so zostatkovou dobou splatnosti dlhšou ako 5 rokov</w:t>
      </w:r>
    </w:p>
    <w:p w:rsidR="00F61B0E" w:rsidRDefault="00200D67">
      <w:pPr>
        <w:ind w:right="68"/>
      </w:pPr>
      <w:r>
        <w:t>ČL. III (2) a) Celková suma záväzkov so zostatkovou dobou splatnosti dlhšou ako 5 rokov</w:t>
      </w:r>
    </w:p>
    <w:tbl>
      <w:tblPr>
        <w:tblStyle w:val="TableGrid"/>
        <w:tblW w:w="11020" w:type="dxa"/>
        <w:tblInd w:w="11" w:type="dxa"/>
        <w:tblCellMar>
          <w:top w:w="87" w:type="dxa"/>
          <w:right w:w="115" w:type="dxa"/>
        </w:tblCellMar>
        <w:tblLook w:val="04A0" w:firstRow="1" w:lastRow="0" w:firstColumn="1" w:lastColumn="0" w:noHBand="0" w:noVBand="1"/>
      </w:tblPr>
      <w:tblGrid>
        <w:gridCol w:w="6878"/>
        <w:gridCol w:w="1593"/>
        <w:gridCol w:w="478"/>
        <w:gridCol w:w="2071"/>
      </w:tblGrid>
      <w:tr w:rsidR="00F61B0E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171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9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231" w:right="0" w:firstLine="0"/>
            </w:pPr>
            <w:r>
              <w:rPr>
                <w:b/>
              </w:rPr>
              <w:t>Celková hodnota</w:t>
            </w:r>
          </w:p>
        </w:tc>
      </w:tr>
      <w:tr w:rsidR="00F61B0E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47" w:right="0" w:firstLine="0"/>
            </w:pPr>
            <w:r>
              <w:t>Záväzky so zostatkovou dobou splatnosti nad päť rokov</w:t>
            </w:r>
          </w:p>
        </w:tc>
        <w:tc>
          <w:tcPr>
            <w:tcW w:w="159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1278"/>
        </w:trPr>
        <w:tc>
          <w:tcPr>
            <w:tcW w:w="6879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:rsidR="00F61B0E" w:rsidRDefault="00200D67">
            <w:pPr>
              <w:spacing w:after="292" w:line="259" w:lineRule="auto"/>
              <w:ind w:left="-11" w:right="0" w:firstLine="0"/>
            </w:pPr>
            <w:r>
              <w:rPr>
                <w:b/>
                <w:sz w:val="24"/>
              </w:rPr>
              <w:lastRenderedPageBreak/>
              <w:t>Čl. III (2) b) Celková suma zabezpečených záväzkov</w:t>
            </w:r>
          </w:p>
          <w:p w:rsidR="00F61B0E" w:rsidRDefault="00200D67">
            <w:pPr>
              <w:spacing w:after="0" w:line="259" w:lineRule="auto"/>
              <w:ind w:left="-11" w:right="0" w:firstLine="0"/>
            </w:pPr>
            <w:r>
              <w:t>Čl. III (2) b) Celková suma zabezpečených záväzkov</w:t>
            </w:r>
          </w:p>
        </w:tc>
        <w:tc>
          <w:tcPr>
            <w:tcW w:w="1593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Opis zabezpečeného záväzku</w:t>
            </w:r>
          </w:p>
        </w:tc>
        <w:tc>
          <w:tcPr>
            <w:tcW w:w="15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750" w:right="0" w:firstLine="0"/>
            </w:pPr>
            <w:r>
              <w:rPr>
                <w:b/>
              </w:rPr>
              <w:t>Hodnota</w:t>
            </w:r>
          </w:p>
        </w:tc>
        <w:tc>
          <w:tcPr>
            <w:tcW w:w="47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2" w:right="0" w:firstLine="0"/>
              <w:jc w:val="center"/>
            </w:pPr>
            <w:r>
              <w:rPr>
                <w:b/>
              </w:rPr>
              <w:t>Spôsob zabezpečenia</w:t>
            </w:r>
          </w:p>
        </w:tc>
      </w:tr>
      <w:tr w:rsidR="00F61B0E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47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59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56" w:right="0" w:firstLine="0"/>
            </w:pPr>
            <w:r>
              <w:rPr>
                <w:b/>
              </w:rPr>
              <w:t xml:space="preserve">             x</w:t>
            </w: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(3) a) Dôvod nadobudnutia vlastných akcií počas účtovného obdobia</w:t>
      </w:r>
    </w:p>
    <w:p w:rsidR="00F61B0E" w:rsidRDefault="00200D67">
      <w:pPr>
        <w:spacing w:after="419"/>
        <w:ind w:right="68"/>
      </w:pPr>
      <w:r>
        <w:t>Čl. III (3) a) Dôvod nadobudnutia vlastných akcií počas účtovného obdobia</w:t>
      </w:r>
    </w:p>
    <w:p w:rsidR="00F61B0E" w:rsidRDefault="00200D67">
      <w:pPr>
        <w:pStyle w:val="Nadpis1"/>
        <w:ind w:left="-5"/>
      </w:pPr>
      <w:r>
        <w:t>Čl. III (3) b) 1. Nadobudnuté vlastné akcie/prevedené vlastné akcie počas účtovného obdobia</w:t>
      </w:r>
    </w:p>
    <w:p w:rsidR="00F61B0E" w:rsidRDefault="00200D67">
      <w:pPr>
        <w:ind w:right="68"/>
      </w:pPr>
      <w:r>
        <w:t>Čl. III (3) b) 1.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F61B0E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% hodnota na ZI</w:t>
            </w:r>
          </w:p>
        </w:tc>
      </w:tr>
      <w:tr w:rsidR="00F61B0E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(3) b) 2. Nadobudnuté vlastné akcie/prevedené vlastné akcie počas účtovného obdobia</w:t>
      </w:r>
    </w:p>
    <w:p w:rsidR="00F61B0E" w:rsidRDefault="00200D67">
      <w:pPr>
        <w:spacing w:after="0"/>
        <w:ind w:right="68"/>
      </w:pPr>
      <w:r>
        <w:t>Čl. III (3) b) 2.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F61B0E">
        <w:trPr>
          <w:trHeight w:val="337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(3) c) Nadobudnuté vlastné akcie v držbe účtovnej jednotky k poslednému dňu účtovného obdobia</w:t>
      </w:r>
    </w:p>
    <w:p w:rsidR="00F61B0E" w:rsidRDefault="00200D67">
      <w:pPr>
        <w:ind w:right="68"/>
      </w:pPr>
      <w:r>
        <w:t>Čl. III (3) c) Nadobudnuté vlastné akcie v držbe účtovnej jednotky k poslednému dňu účtovného obdobia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1506"/>
        <w:gridCol w:w="1506"/>
        <w:gridCol w:w="1506"/>
        <w:gridCol w:w="1506"/>
      </w:tblGrid>
      <w:tr w:rsidR="00F61B0E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% podiel na ZI</w:t>
            </w: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(4) Informácie o vytvorení kapitálového fondu z príspevkov</w:t>
      </w:r>
    </w:p>
    <w:p w:rsidR="00F61B0E" w:rsidRDefault="00200D67">
      <w:pPr>
        <w:spacing w:after="424"/>
        <w:ind w:right="68"/>
      </w:pPr>
      <w:r>
        <w:t>Čl. III (4) Informácie, či účtovná jednotka vytvorila kapitálový fond z príspevkov podľa § 123 ods. 2 a 217a Obchodného zákonníka</w:t>
      </w:r>
    </w:p>
    <w:p w:rsidR="00F61B0E" w:rsidRDefault="00200D67">
      <w:pPr>
        <w:pStyle w:val="Nadpis1"/>
        <w:ind w:left="-5"/>
      </w:pPr>
      <w:r>
        <w:t>Čl. III (5) a) Výška jednotlivých druhov záruk alebo iných zabezpečení poskytnutých pre členov orgánov spoločnosti</w:t>
      </w:r>
    </w:p>
    <w:p w:rsidR="00F61B0E" w:rsidRDefault="00200D67">
      <w:pPr>
        <w:ind w:right="68"/>
      </w:pPr>
      <w:r>
        <w:t>Čl. III (5)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0" w:type="dxa"/>
          <w:left w:w="106" w:type="dxa"/>
          <w:right w:w="105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F61B0E">
        <w:trPr>
          <w:trHeight w:val="382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Druh záruky / iné zabezpečenie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iných orgánov</w:t>
            </w:r>
          </w:p>
        </w:tc>
      </w:tr>
    </w:tbl>
    <w:p w:rsidR="00F61B0E" w:rsidRDefault="00200D67">
      <w:pPr>
        <w:pStyle w:val="Nadpis1"/>
        <w:ind w:left="-5"/>
      </w:pPr>
      <w:r>
        <w:t>Čl. III (5) b) Informácie o pôžičkách poskytnutých členom orgánov spoločnosti k poslednému dňu účtovného obdobia</w:t>
      </w:r>
    </w:p>
    <w:p w:rsidR="00F61B0E" w:rsidRDefault="00200D67">
      <w:pPr>
        <w:ind w:right="68"/>
      </w:pPr>
      <w:r>
        <w:t>Čl. III (5)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72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F61B0E">
        <w:trPr>
          <w:trHeight w:val="389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</w:rPr>
              <w:t>Druh pôžičky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iných orgánov</w:t>
            </w:r>
          </w:p>
        </w:tc>
      </w:tr>
      <w:tr w:rsidR="00F61B0E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Celková suma poskytnutých pôžičiek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lastRenderedPageBreak/>
              <w:t>Celková suma odpustených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Celková suma odpísaných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(5) c) Informácie o hlavných podmienkach, na základe ktorých boli členom orgánov spoločnosti záruky alebo iné zabezpečenia a pôžičky poskytnuté</w:t>
      </w:r>
    </w:p>
    <w:p w:rsidR="00F61B0E" w:rsidRDefault="00200D67">
      <w:pPr>
        <w:spacing w:after="130"/>
        <w:ind w:right="68"/>
      </w:pPr>
      <w:r>
        <w:t>Čl. III (5) c) Informácie o hlavných podmienkach,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333"/>
        <w:gridCol w:w="3681"/>
      </w:tblGrid>
      <w:tr w:rsidR="00F61B0E">
        <w:trPr>
          <w:trHeight w:val="330"/>
        </w:trPr>
        <w:tc>
          <w:tcPr>
            <w:tcW w:w="73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Hlavné podmienky</w:t>
            </w:r>
          </w:p>
        </w:tc>
      </w:tr>
    </w:tbl>
    <w:p w:rsidR="00F61B0E" w:rsidRDefault="00200D67">
      <w:pPr>
        <w:pStyle w:val="Nadpis1"/>
        <w:ind w:left="-5"/>
      </w:pPr>
      <w:r>
        <w:t>Čl. III (5) d) Informácie o celkovej sume použitých finančných prostriedkov alebo iného plnenia na súkromné účely členmi orgánov spoločnosti, ktoré sa vyúčtovávajú</w:t>
      </w:r>
    </w:p>
    <w:p w:rsidR="00F61B0E" w:rsidRDefault="00200D67">
      <w:pPr>
        <w:spacing w:after="0"/>
        <w:ind w:right="68"/>
      </w:pPr>
      <w:r>
        <w:t>Čl. III (5) d) Celková suma použitých finančných prostriedkov alebo iného plnenia na súkromné účely členmi štaturáneho, dozorného a iného orgánu účtovnej jednotky, ktoré sa vyúčtovávajú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a) Informácie o celkovej sume finančných povinností, ktoré sa nevykazujú v súvahe, ale sú významné na posúdenie finančnej situácie účtovnej jednotky</w:t>
      </w:r>
    </w:p>
    <w:p w:rsidR="00F61B0E" w:rsidRDefault="00200D67">
      <w:pPr>
        <w:spacing w:after="0"/>
        <w:ind w:right="68"/>
      </w:pPr>
      <w:r>
        <w:t>Čl. III (6) a) Informácie o celkovej sume finančných povinností, ktoré sa nevykazujú v súvahe, ale sú významné na posúdenie finančnej situácie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8470"/>
        <w:gridCol w:w="2548"/>
      </w:tblGrid>
      <w:tr w:rsidR="00F61B0E">
        <w:trPr>
          <w:trHeight w:val="338"/>
        </w:trPr>
        <w:tc>
          <w:tcPr>
            <w:tcW w:w="847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847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25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b) 1. Informácie o celkovej sume významných podmienených záväzkov – možná povinnosť, ktorá vznikla ako dôsledok minulej udalosti</w:t>
      </w:r>
    </w:p>
    <w:p w:rsidR="00F61B0E" w:rsidRDefault="00200D67">
      <w:pPr>
        <w:spacing w:after="0"/>
        <w:ind w:right="68"/>
      </w:pPr>
      <w:r>
        <w:t>Čl. III (6) b) 1. Informácie o celkovej sume významných podmienených záväzkov, ktorými sa rozumie možná povinnosť, ktorá vznikla ako dôsledok minulej udalosti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b) 2. Informácie o celkovej sume významných podmienených záväzkov – existujúca povinnosť, ktorá vznikla ako dôsledok minulej udalosti, ale ktorá sa nevykazuje v súvahe</w:t>
      </w:r>
    </w:p>
    <w:p w:rsidR="00F61B0E" w:rsidRDefault="00200D67">
      <w:pPr>
        <w:spacing w:after="0"/>
        <w:ind w:right="2422"/>
      </w:pPr>
      <w:r>
        <w:t>Čl. III (6) b) Informácie o celkovej sume významných podmienených záväzkov, ktorými sa rozumie existujúca povinnosť, ktorá vznikla ako dôsledok minulej udalosti, ale ktorá sa nevykazuje v súvahe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(6) c) Opis významných finančných povinností a významných podmienených záväzkov</w:t>
      </w:r>
    </w:p>
    <w:p w:rsidR="00F61B0E" w:rsidRDefault="00200D67">
      <w:pPr>
        <w:spacing w:after="419"/>
        <w:ind w:right="68"/>
      </w:pPr>
      <w:r>
        <w:t>Čl. III (6) c) Opis významných finančných povinností a významných podmienených záväzkov</w:t>
      </w:r>
    </w:p>
    <w:p w:rsidR="00F61B0E" w:rsidRDefault="00200D67">
      <w:pPr>
        <w:pStyle w:val="Nadpis1"/>
        <w:ind w:left="-5"/>
      </w:pPr>
      <w:r>
        <w:t>Čl. III (6) d) Informácie o celkovej sume významných finančných povinností a významných podmienených záväzkov voči dcérskej účt. jednotke a účt. jednotke s podstatným vplyvom</w:t>
      </w:r>
    </w:p>
    <w:p w:rsidR="00F61B0E" w:rsidRDefault="00200D67">
      <w:pPr>
        <w:spacing w:after="0"/>
        <w:ind w:right="68"/>
      </w:pPr>
      <w:r>
        <w:t>Čl. III (6) d) Informácie o celkovej sume významných finančných povinností a významných podmienených záväzkov voči dcérskej účtovnej jednotke a účtovnej jednotke s podstatným vplyvom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lastRenderedPageBreak/>
        <w:t>Čl. III (6) e) Opis významných povinností účtovnej jednotky vyplývajúcich z dôchodkových programov pre zamestnancov</w:t>
      </w:r>
    </w:p>
    <w:p w:rsidR="00F61B0E" w:rsidRDefault="00200D67">
      <w:pPr>
        <w:spacing w:after="419"/>
        <w:ind w:right="68"/>
      </w:pPr>
      <w:r>
        <w:t>Čl. III (6) e) Opis významných povinností účtovnej jednotky vyplývajúcich z dôchodkových programov pre zamestnancov</w:t>
      </w:r>
    </w:p>
    <w:p w:rsidR="00F61B0E" w:rsidRDefault="00200D67">
      <w:pPr>
        <w:pStyle w:val="Nadpis1"/>
        <w:ind w:left="-5"/>
      </w:pPr>
      <w:r>
        <w:t>Čl. III (7) Informácie o udelení výlučného práva alebo osobitného práva, ktorým sa udelilo právo poskytovať služby vo verejnom záujme a iných zároveň vykonávajúcich činnostiach</w:t>
      </w:r>
    </w:p>
    <w:p w:rsidR="00F61B0E" w:rsidRDefault="00200D67">
      <w:pPr>
        <w:spacing w:after="464"/>
        <w:ind w:right="68"/>
      </w:pPr>
      <w:r>
        <w:t>ČL. III (7) Informácie o udelení výlučného práva alebo osobitného práva, ktorým sa udelilo právo poskytovať služby vo verejnom záujme, pričom sa uvádza aj náhrada za túto činnosť v akejkoľvek forme:</w:t>
      </w:r>
    </w:p>
    <w:p w:rsidR="00F61B0E" w:rsidRDefault="00200D67">
      <w:pPr>
        <w:spacing w:after="401"/>
        <w:ind w:right="68"/>
      </w:pPr>
      <w:r>
        <w:t>Podnik zároveň vykonáva aj iné činnosti</w:t>
      </w:r>
    </w:p>
    <w:p w:rsidR="00F61B0E" w:rsidRDefault="00200D67">
      <w:pPr>
        <w:tabs>
          <w:tab w:val="center" w:pos="1629"/>
        </w:tabs>
        <w:spacing w:after="303"/>
        <w:ind w:left="0" w:righ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2943" name="Group 129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127" name="Shape 1512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28" name="Shape 1512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943" style="width:9.75pt;height:9.75pt;mso-position-horizontal-relative:char;mso-position-vertical-relative:line" coordsize="1238,1238">
                <v:shape id="Shape 1512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3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 w:rsidR="0025026C">
        <w:t>x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9525" b="9525"/>
                <wp:docPr id="12944" name="Group 129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131" name="Shape 1513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32" name="Shape 1513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25026C" w:rsidRDefault="0025026C" w:rsidP="0025026C">
                              <w:pPr>
                                <w:ind w:left="0"/>
                                <w:jc w:val="center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2944" o:spid="_x0000_s1033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">
                <v:shape id="Shape 15131" o:spid="_x0000_s1034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32" o:spid="_x0000_s1035" style="position:absolute;left:9525;top:9525;width:104775;height:104775;visibility:visible;mso-wrap-style:square;v-text-anchor:top" coordsize="104775,10477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" adj="-11796480,,5400" path="m,l104775,r,104775l,104775,,e" stroked="f" strokeweight="0">
                  <v:stroke miterlimit="83231f" joinstyle="miter"/>
                  <v:formulas/>
                  <v:path arrowok="t" o:connecttype="custom" textboxrect="0,0,104775,104775"/>
                  <v:textbox>
                    <w:txbxContent>
                      <w:p w:rsidR="0025026C" w:rsidRDefault="0025026C" w:rsidP="0025026C">
                        <w:pPr>
                          <w:ind w:left="0"/>
                          <w:jc w:val="center"/>
                        </w:pPr>
                        <w:r>
                          <w:t>x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  <w:r>
        <w:t xml:space="preserve"> Nie</w:t>
      </w:r>
    </w:p>
    <w:p w:rsidR="00F61B0E" w:rsidRDefault="00200D67">
      <w:pPr>
        <w:pStyle w:val="Nadpis1"/>
        <w:ind w:left="-5"/>
      </w:pPr>
      <w:r>
        <w:t>Miesto pre ďalšie záznamy</w:t>
      </w:r>
    </w:p>
    <w:p w:rsidR="00F61B0E" w:rsidRDefault="00200D67">
      <w:pPr>
        <w:ind w:right="68"/>
      </w:pPr>
      <w:r>
        <w:t>Miesto pre ďalšie záznamy</w:t>
      </w:r>
    </w:p>
    <w:sectPr w:rsidR="00F61B0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023" w:right="441" w:bottom="1089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7A1D" w:rsidRDefault="00327A1D">
      <w:pPr>
        <w:spacing w:after="0" w:line="240" w:lineRule="auto"/>
      </w:pPr>
      <w:r>
        <w:separator/>
      </w:r>
    </w:p>
  </w:endnote>
  <w:endnote w:type="continuationSeparator" w:id="0">
    <w:p w:rsidR="00327A1D" w:rsidRDefault="00327A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 w:rsidR="00D972C9" w:rsidRPr="00D972C9">
      <w:rPr>
        <w:noProof/>
        <w:sz w:val="16"/>
      </w:rPr>
      <w:t>6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7A1D" w:rsidRDefault="00327A1D">
      <w:pPr>
        <w:spacing w:after="0" w:line="240" w:lineRule="auto"/>
      </w:pPr>
      <w:r>
        <w:separator/>
      </w:r>
    </w:p>
  </w:footnote>
  <w:footnote w:type="continuationSeparator" w:id="0">
    <w:p w:rsidR="00327A1D" w:rsidRDefault="00327A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F61B0E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:rsidR="00F61B0E" w:rsidRDefault="00200D67">
    <w:pPr>
      <w:spacing w:after="0" w:line="259" w:lineRule="auto"/>
      <w:ind w:left="8" w:right="0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2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424686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D972C9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D972C9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D972C9" w:rsidP="00D972C9">
          <w:pPr>
            <w:spacing w:after="0" w:line="259" w:lineRule="auto"/>
            <w:ind w:left="0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D972C9">
          <w:pPr>
            <w:spacing w:after="0" w:line="259" w:lineRule="auto"/>
            <w:ind w:left="8" w:right="0" w:firstLine="0"/>
            <w:jc w:val="both"/>
          </w:pPr>
          <w:r>
            <w:t>0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D972C9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D972C9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D972C9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D972C9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D972C9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D972C9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D972C9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424686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D972C9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D972C9" w:rsidP="00D972C9">
          <w:pPr>
            <w:spacing w:after="0" w:line="259" w:lineRule="auto"/>
            <w:ind w:right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D972C9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D972C9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</w:tr>
  </w:tbl>
  <w:p w:rsidR="00F61B0E" w:rsidRDefault="00200D67" w:rsidP="00D972C9">
    <w:pPr>
      <w:spacing w:after="0" w:line="259" w:lineRule="auto"/>
      <w:ind w:left="8" w:right="0" w:firstLine="0"/>
    </w:pPr>
    <w:r>
      <w:t>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F61B0E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:rsidR="00F61B0E" w:rsidRDefault="00200D67">
    <w:pPr>
      <w:spacing w:after="0" w:line="259" w:lineRule="auto"/>
      <w:ind w:left="8" w:right="0" w:firstLine="0"/>
      <w:jc w:val="center"/>
    </w:pPr>
    <w: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45596"/>
    <w:multiLevelType w:val="hybridMultilevel"/>
    <w:tmpl w:val="4170B9EA"/>
    <w:lvl w:ilvl="0" w:tplc="BBAC2E54">
      <w:start w:val="1"/>
      <w:numFmt w:val="decimal"/>
      <w:lvlText w:val="%1."/>
      <w:lvlJc w:val="left"/>
      <w:pPr>
        <w:ind w:left="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B584186A">
      <w:start w:val="1"/>
      <w:numFmt w:val="lowerLetter"/>
      <w:lvlText w:val="%2"/>
      <w:lvlJc w:val="left"/>
      <w:pPr>
        <w:ind w:left="177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099E76D2">
      <w:start w:val="1"/>
      <w:numFmt w:val="lowerRoman"/>
      <w:lvlText w:val="%3"/>
      <w:lvlJc w:val="left"/>
      <w:pPr>
        <w:ind w:left="249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DA1CF174">
      <w:start w:val="1"/>
      <w:numFmt w:val="decimal"/>
      <w:lvlText w:val="%4"/>
      <w:lvlJc w:val="left"/>
      <w:pPr>
        <w:ind w:left="3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6E24C82A">
      <w:start w:val="1"/>
      <w:numFmt w:val="lowerLetter"/>
      <w:lvlText w:val="%5"/>
      <w:lvlJc w:val="left"/>
      <w:pPr>
        <w:ind w:left="393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7ED0586A">
      <w:start w:val="1"/>
      <w:numFmt w:val="lowerRoman"/>
      <w:lvlText w:val="%6"/>
      <w:lvlJc w:val="left"/>
      <w:pPr>
        <w:ind w:left="465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46A6A5E2">
      <w:start w:val="1"/>
      <w:numFmt w:val="decimal"/>
      <w:lvlText w:val="%7"/>
      <w:lvlJc w:val="left"/>
      <w:pPr>
        <w:ind w:left="537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53D804BE">
      <w:start w:val="1"/>
      <w:numFmt w:val="lowerLetter"/>
      <w:lvlText w:val="%8"/>
      <w:lvlJc w:val="left"/>
      <w:pPr>
        <w:ind w:left="609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5A968494">
      <w:start w:val="1"/>
      <w:numFmt w:val="lowerRoman"/>
      <w:lvlText w:val="%9"/>
      <w:lvlJc w:val="left"/>
      <w:pPr>
        <w:ind w:left="68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B0E"/>
    <w:rsid w:val="00200D67"/>
    <w:rsid w:val="0025026C"/>
    <w:rsid w:val="00327A1D"/>
    <w:rsid w:val="004110B1"/>
    <w:rsid w:val="00424686"/>
    <w:rsid w:val="004F1C23"/>
    <w:rsid w:val="00CA1830"/>
    <w:rsid w:val="00D972C9"/>
    <w:rsid w:val="00E962E1"/>
    <w:rsid w:val="00EF67EA"/>
    <w:rsid w:val="00F61B0E"/>
    <w:rsid w:val="00FA3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DEDF93"/>
  <w15:docId w15:val="{4505027A-4196-45B0-A83F-C0A6B3D93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74" w:line="261" w:lineRule="auto"/>
      <w:ind w:left="10" w:right="5717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03" w:line="250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F67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67EA"/>
    <w:rPr>
      <w:rFonts w:ascii="Segoe UI" w:eastAsia="Arial CE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1623</Words>
  <Characters>9257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Emília Hajduková</dc:creator>
  <cp:keywords/>
  <cp:lastModifiedBy>Emília Hajduková</cp:lastModifiedBy>
  <cp:revision>2</cp:revision>
  <cp:lastPrinted>2023-03-21T16:51:00Z</cp:lastPrinted>
  <dcterms:created xsi:type="dcterms:W3CDTF">2023-03-29T09:18:00Z</dcterms:created>
  <dcterms:modified xsi:type="dcterms:W3CDTF">2023-03-29T09:18:00Z</dcterms:modified>
</cp:coreProperties>
</file>