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_rels/chart1.xml.rels" ContentType="application/vnd.openxmlformats-package.relationships+xml"/>
  <Override PartName="/word/charts/_rels/chart2.xml.rels" ContentType="application/vnd.openxmlformats-package.relationships+xml"/>
  <Override PartName="/word/charts/_rels/chart3.xml.rels" ContentType="application/vnd.openxmlformats-package.relationships+xml"/>
  <Override PartName="/word/charts/_rels/chart4.xml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embeddings/Microsoft_Excel_Worksheet.xlsx" ContentType="application/vnd.openxmlformats-officedocument.spreadsheetml.sheet"/>
  <Override PartName="/word/embeddings/Microsoft_Excel_Worksheet3.xlsx" ContentType="application/vnd.openxmlformats-officedocument.spreadsheetml.sheet"/>
  <Override PartName="/word/embeddings/Microsoft_Excel_Worksheet2.xlsx" ContentType="application/vnd.openxmlformats-officedocument.spreadsheetml.sheet"/>
  <Override PartName="/word/embeddings/Microsoft_Excel_Worksheet1.xlsx" ContentType="application/vnd.openxmlformats-officedocument.spreadsheetml.sheet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TES MI s.r.o.  </w:t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V Ý R O Č N Á    S P R Á V A</w:t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2 2  </w:t>
      </w:r>
    </w:p>
    <w:p>
      <w:pPr>
        <w:pStyle w:val="Normal"/>
        <w:tabs>
          <w:tab w:val="clear" w:pos="720"/>
          <w:tab w:val="left" w:pos="1872" w:leader="none"/>
          <w:tab w:val="left" w:pos="2160" w:leader="none"/>
          <w:tab w:val="left" w:pos="4752" w:leader="none"/>
        </w:tabs>
        <w:spacing w:lineRule="atLeast" w:line="480" w:before="0" w:after="1440"/>
        <w:ind w:right="-12" w:hanging="0"/>
        <w:jc w:val="center"/>
        <w:rPr>
          <w:rFonts w:ascii="Times New Roman" w:hAnsi="Times New Roman"/>
          <w:b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  <w:tab/>
        <w:t xml:space="preserve">TES MI s.r.o., Továrenská 2, 071 01 Michalovce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  <w:tab/>
        <w:tab/>
        <w:t>36 190 217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  <w:tab/>
        <w:t>056/6884741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 B S A H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PREHĽAD FINANČNÝCH ÚDAJOV ZA ROKY 2020 - 2022</w:t>
        <w:tab/>
        <w:t xml:space="preserve">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SPRÁVA KONATEĽA O PODNIKATEĽSKEJ </w:t>
        <w:tab/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ČINNOSTI V ROKU 2022: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vystavená.</w:t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jednotky.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alebo vyrovnanie straty.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ÚČTOVNÁ ZÁVIERKA ZA ROK 2022</w:t>
        <w:tab/>
        <w:tab/>
        <w:t xml:space="preserve">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Bilancia (súvaha)</w:t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Výkaz ziskov a strát</w:t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2020-2022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T R Ž B Y,  P R I D A N Á  H O D N O T A,  H O S P.   V Ý S L E D O K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2 0 2 0 – 2 0 2 2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  <w:tab w:val="right" w:pos="9203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>
        <w:rPr/>
        <w:drawing>
          <wp:inline distT="0" distB="0" distL="0" distR="0">
            <wp:extent cx="5241925" cy="4725670"/>
            <wp:effectExtent l="0" t="0" r="0" b="0"/>
            <wp:docPr id="1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"/>
              </a:graphicData>
            </a:graphic>
          </wp:inline>
        </w:drawing>
      </w:r>
      <w:r>
        <w:rPr>
          <w:rFonts w:ascii="Times New Roman" w:hAnsi="Times New Roman"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2020 – 2022                                 P A S Í V A 2020 - 2022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anchor behindDoc="0" distT="0" distB="0" distL="0" distR="0" simplePos="0" locked="0" layoutInCell="0" allowOverlap="1" relativeHeight="13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2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"/>
              </a:graphicData>
            </a:graphic>
          </wp:anchor>
        </w:drawing>
        <w:drawing>
          <wp:inline distT="0" distB="0" distL="0" distR="0">
            <wp:extent cx="2625725" cy="3974465"/>
            <wp:effectExtent l="0" t="0" r="0" b="0"/>
            <wp:docPr id="3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center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2022</w:t>
      </w:r>
    </w:p>
    <w:p>
      <w:pPr>
        <w:pStyle w:val="Normal"/>
        <w:tabs>
          <w:tab w:val="clear" w:pos="720"/>
          <w:tab w:val="left" w:pos="6440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5541010" cy="2978785"/>
            <wp:effectExtent l="0" t="0" r="0" b="0"/>
            <wp:docPr id="4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KONATEĽOV O PODNIKATEĽSKEJ ČINNOSTI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2022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vystavená.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Účtovná jednotka TES MI s.r.o. v priebehu roka 2022 vykonávala svoju činnosť v štandardnom režime s negatívnymi dopadmi v odberateľsko dodávateľských vzťahov v súvislosti s vojnou na Ukraine.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Odberateľom dodávala svoju produkciu v dohodnutých termínoch a štandardnej kvalite. Finančné záväzky voči svojím dodávateľom uhrádzala v termínoch splatnosti.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Pri úhrade vlastných pohľadávok sa vyskytli problémy najmä u odberateľa BSH s.r.o. Michalovce u ktorého hodnota pohľadávok k 31.12.2022 činí 1 966 tis. €, čo predstavuje 43,1 % hodnoty celkových pohľadávok za odberateľmi.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Celkovo možno hodnotiť vývoj spoločnosti ako štandardný, mierne rizikový.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4962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ab/>
        <w:t xml:space="preserve">  k 31.12.2022</w:t>
        <w:tab/>
        <w:t xml:space="preserve">  k 31.12.2021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zisk+úroky         241 155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  x  100  =                        0,91 %</w:t>
        <w:tab/>
        <w:t xml:space="preserve">    1,16 %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26 552 980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    241 155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 x  100  =                         2,89 %</w:t>
        <w:tab/>
        <w:t xml:space="preserve">   3,13 %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 8 339 915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Hosp.výsledok                241 155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</w:t>
      </w:r>
      <w:r>
        <w:rPr>
          <w:rFonts w:ascii="Times New Roman" w:hAnsi="Times New Roman"/>
          <w:sz w:val="22"/>
          <w:szCs w:val="22"/>
        </w:rPr>
        <w:t>=  ––––––––––   x   100    =                         0,88 %</w:t>
        <w:tab/>
        <w:t xml:space="preserve">    1,46 %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 27 243 488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27 243 488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529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 x   100     =                       99,12 % </w:t>
        <w:tab/>
        <w:t xml:space="preserve">     98,55 %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27 484 643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BILANCIA  (SÚVAHA)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%-tuálne zloženie,  medziročný pohyb. Analýza zdrojov (pasív), vlastného imania, cudzích zdrojov, ostatných pasív.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90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50"/>
        <w:gridCol w:w="1559"/>
        <w:gridCol w:w="1190"/>
        <w:gridCol w:w="1647"/>
        <w:gridCol w:w="1188"/>
        <w:gridCol w:w="1504"/>
      </w:tblGrid>
      <w:tr>
        <w:trPr>
          <w:cantSplit w:val="true"/>
        </w:trPr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31.12.2022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31.12.2021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2022 – 2021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8 649 361</w:t>
            </w:r>
          </w:p>
        </w:tc>
        <w:tc>
          <w:tcPr>
            <w:tcW w:w="119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32,5</w:t>
            </w:r>
          </w:p>
        </w:tc>
        <w:tc>
          <w:tcPr>
            <w:tcW w:w="164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10 096 111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38,0</w:t>
            </w:r>
          </w:p>
        </w:tc>
        <w:tc>
          <w:tcPr>
            <w:tcW w:w="1504" w:type="dxa"/>
            <w:tcBorders>
              <w:top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-1 446 750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17 951 034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67,4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16 443 294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61,9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+1 507 740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4 788 813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18,0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2 827 734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10,6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+1 961 079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4 759 824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17,9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4 397 102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16,6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+362 722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8 402 397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31,5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9 218 458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34,7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-816 061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16 421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13 575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504" w:type="dxa"/>
            <w:tcBorders>
              <w:top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+2 846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26 616 816</w:t>
            </w:r>
          </w:p>
        </w:tc>
        <w:tc>
          <w:tcPr>
            <w:tcW w:w="1190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26 552 980</w:t>
            </w:r>
          </w:p>
        </w:tc>
        <w:tc>
          <w:tcPr>
            <w:tcW w:w="1188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+63 836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7 468 033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28,0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8 339 915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31,4</w:t>
            </w:r>
          </w:p>
        </w:tc>
        <w:tc>
          <w:tcPr>
            <w:tcW w:w="1504" w:type="dxa"/>
            <w:tcBorders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-871 882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19 148 783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72,0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18 213 065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68,6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+935 718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26 616 816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26 552 980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+63 836</w:t>
            </w:r>
          </w:p>
        </w:tc>
      </w:tr>
    </w:tbl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left="5392" w:right="-12" w:hanging="0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</w:t>
      </w:r>
      <w:r>
        <w:rPr>
          <w:rFonts w:ascii="Times New Roman" w:hAnsi="Times New Roman"/>
          <w:b/>
          <w:bCs/>
          <w:sz w:val="22"/>
          <w:szCs w:val="22"/>
        </w:rPr>
        <w:t>2022               2021</w:t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  7 468 033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x 100 =                                    86,2 %           82,6 %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Stále aktíva                 8 649 361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 7 468 033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 x 100 =                                   28,0 %</w:t>
        <w:tab/>
        <w:t xml:space="preserve">           31,4 %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Celkové aktíva          26 616 816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Cudzí kapitál             19 148 783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x 100 =</w:t>
        <w:tab/>
        <w:t xml:space="preserve">              72,6 %</w:t>
        <w:tab/>
        <w:t xml:space="preserve">           68,6 %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26 616 816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  <w:tab/>
        <w:t xml:space="preserve">                -                     -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 8 402 397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–––––––––––– =  2,056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4 086 959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13 162 221 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=  3,221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4 086 959    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17 951 034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=   4,392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4 086 959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 xml:space="preserve">        </w:t>
        <w:tab/>
        <w:t xml:space="preserve">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>
      <w:pPr>
        <w:pStyle w:val="Normal"/>
        <w:tabs>
          <w:tab w:val="clear" w:pos="720"/>
          <w:tab w:val="left" w:pos="2977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17 951 034 – 4 086 959 =  13 864 075 €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potrebné uviesť vo výročnej správe.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jednotky.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Účtovná jednotka bude pokračovať vo svojej činnosti v rozsahu roku 2022.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>
        <w:rPr>
          <w:rFonts w:ascii="Times New Roman" w:hAnsi="Times New Roman"/>
          <w:sz w:val="22"/>
          <w:szCs w:val="22"/>
        </w:rPr>
        <w:t xml:space="preserve">Spoločnosť nečerpala žiadne náklady na vedu a výskum.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Spoločnosť nenadobudla žiadne vlastné obchodné podiely.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2022 a na rozdelenie zisku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  <w:r>
        <w:rPr>
          <w:rFonts w:ascii="Times New Roman" w:hAnsi="Times New Roman"/>
          <w:b/>
          <w:sz w:val="22"/>
          <w:szCs w:val="22"/>
        </w:rPr>
        <w:t>alebo vyrovnanie straty.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TES MI s.r.o. v zmysle spoločenskej zmluvy po preskúmaní ročnej účtovnej závierky a výročnej správy za rok 2022 a správy audítora, predkladá  valnému zhromaždeniu na  schválenie návrh: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2022.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+ 241 154,69 € zúčtovať nasledovne: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   </w:t>
      </w:r>
      <w:r>
        <w:rPr>
          <w:rFonts w:ascii="Times New Roman" w:hAnsi="Times New Roman"/>
          <w:sz w:val="22"/>
          <w:szCs w:val="22"/>
        </w:rPr>
        <w:t xml:space="preserve">68 360.- €, podiel na zisku menšinových vlastníkov </w:t>
        <w:tab/>
        <w:t xml:space="preserve">    </w:t>
      </w:r>
    </w:p>
    <w:p>
      <w:pPr>
        <w:pStyle w:val="Normal"/>
        <w:tabs>
          <w:tab w:val="clear" w:pos="720"/>
          <w:tab w:val="left" w:pos="1134" w:leader="none"/>
        </w:tabs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       172 794,69 €, v prospech nerozdeleného zisku minulých rokov                  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>
        <w:rPr>
          <w:rFonts w:ascii="Times New Roman" w:hAnsi="Times New Roman"/>
          <w:sz w:val="22"/>
          <w:szCs w:val="22"/>
        </w:rPr>
        <w:t xml:space="preserve">Pre spoločnosť bezpredmetné.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Účtovná jednotka nemá organizačnú zložku v zahraničí.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5103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  <w:tab/>
        <w:tab/>
        <w:t>Paolo Felisa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2"/>
          <w:szCs w:val="22"/>
        </w:rPr>
        <w:t>konateľ spoločnosti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01.01.2022 - 31.12.2022, 2021, 2020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823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25"/>
        <w:gridCol w:w="1261"/>
        <w:gridCol w:w="1218"/>
        <w:gridCol w:w="1218"/>
      </w:tblGrid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v eurách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left="-155"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00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06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hosp.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27 484 643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21 826 820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20 558 529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tovaru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172 440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vlastných výrobkov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27 120 739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21 592 002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20 281 645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Tržby z predaja služieb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177 400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208 959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261 472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96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dlh.majetku a  mat.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hosp. 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14 064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14 859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15 412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hosp. činnosť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27 159 700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21 488 417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19 157 289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Náklady na obst. tovaru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99 600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Spotreba materiálu a energie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23 164 453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16 763 519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14 748 979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Služby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1 902 292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2 214 631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1 989 194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Osobné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499 699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492 414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503 558 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324 398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320 540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330 894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113 546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114 108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116 467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61 755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57 766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56 197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Dane a poplatky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27 399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33 174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26 573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Odpisy dlhodobého majetku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1 402 073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1 918 702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1 824 921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4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Zost.cena pred.dlh.majetku a mat.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Opravné položky k pohľadávkam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519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2 871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prevádzkové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64 184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65 124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61 283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hosp.činnosti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324 943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338 403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1 401 240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bCs/>
                <w:color w:val="993300"/>
              </w:rPr>
              <w:t>Pridaná hodnota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2 304 234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2 822 811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3 805 034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finanč.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505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Výnosové úroky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finanč. 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fin.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6 992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7 864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20 527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Nákladové úroky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896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13 295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Kurzové straty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náklady z finanč.činnosti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6 992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6 861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7 188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finanč.činnosti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-6 992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- 7 864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- 20 022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Výsled. hosp. pred zdanením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317 951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330 539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1 381 218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91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Daň z príjmov – splatná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31 489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280 858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4111" w:leader="none"/>
              </w:tabs>
              <w:ind w:right="-105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                        </w:t>
            </w:r>
            <w:r>
              <w:rPr>
                <w:rFonts w:cs="Arial" w:ascii="Arial" w:hAnsi="Arial"/>
                <w:color w:val="000000"/>
              </w:rPr>
              <w:t>-odložená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45 307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15 673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20 360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91" w:hanging="0"/>
              <w:rPr>
                <w:rFonts w:ascii="Arial" w:hAnsi="Arial" w:cs="Arial"/>
                <w:b/>
                <w:b/>
                <w:bCs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</w:r>
          </w:p>
          <w:p>
            <w:pPr>
              <w:pStyle w:val="Normal"/>
              <w:widowControl w:val="false"/>
              <w:ind w:right="-491" w:hanging="0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Výsledok hosp.za účt. obdobie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241 155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314 866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1 080 000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31.12.2022, 2021, 2020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tbl>
      <w:tblPr>
        <w:tblW w:w="8068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35"/>
        <w:gridCol w:w="1394"/>
        <w:gridCol w:w="1276"/>
        <w:gridCol w:w="1262"/>
      </w:tblGrid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24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062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Neobežný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8 649 361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10 096 111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12 842 203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nehmotný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hmotný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5 590 602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6 992 675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9 666 652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Pozemky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846 359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846 359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</w:tr>
      <w:tr>
        <w:trPr>
          <w:trHeight w:val="6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Stavby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1 760 814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2 051 245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2 341 677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2 895 769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4 007 411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6 226 372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87 660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87 660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251 910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finančný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3 058 759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3 103 436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3 175 551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Podiely v prepojených účt. jednotkách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3 058 759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3 103 436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3 175 551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Obežný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17 951 034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16 443 294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14 280 836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Zásoby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4 788 813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2 827 734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688 525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Materiál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4 701 446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2 740 366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601 157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Tovar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Cs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Odložená daňová pohľadávka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126 385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157 536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3 415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4 633 439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4 239 566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3 637 283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4 566 921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3 935 937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3 615 031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27 716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22 174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17 679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38 802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281 378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3 396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1 177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Finančné účty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8 402 397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9 218 458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9 951 613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Peniaze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7 087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5 059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8 395 297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9 211 371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9 946 554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16 421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13 575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16 012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16 421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13 575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16 012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Príjmy budúcich období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MAJETOK CELKOM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26 616 816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26 552 980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27 139 051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31.12.2022, 2021, 2020</w:t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  <w:tab w:val="left" w:pos="779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680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058"/>
        <w:gridCol w:w="1218"/>
        <w:gridCol w:w="1173"/>
        <w:gridCol w:w="1230"/>
      </w:tblGrid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31.12.2022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6" w:hanging="0"/>
              <w:jc w:val="center"/>
              <w:rPr>
                <w:rFonts w:ascii="Arial" w:hAnsi="Arial" w:cs="Arial"/>
                <w:b/>
                <w:b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color w:val="000000"/>
                <w:u w:val="single"/>
              </w:rPr>
              <w:t>31 12.2021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248" w:hanging="531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Vlastné imanie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7 468 033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8 339 915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10 071 278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Základné imanie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Fondy zo zisku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Oceňovacie rozdiely z prec. majetku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2 049 538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2 094 215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2 166 330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hosp.min.rokov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5 150 680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5 904 174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6 798 288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hosp.za účtovné obdobie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241 155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314 866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1 080 000</w:t>
            </w:r>
          </w:p>
        </w:tc>
      </w:tr>
      <w:tr>
        <w:trPr>
          <w:trHeight w:val="566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19 148 783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18 213 065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17 067 773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15 061 824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14 047 457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14 033 424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Ost. záv. voči prepojeným úč. jednotkám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14 986 519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13 986 519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13 986 519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16 653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16 441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15 893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Odložený daňový záväzok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58 652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44 497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31 012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bankové úvery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4 064 275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4 145 824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2 394 919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3 719 908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3 852 640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2 028 632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19 178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17 644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16 024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22 203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21 201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20 510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232 139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196 839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277 430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70 847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57 500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52 323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Krátkodobé rezervy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22 684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19 784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20 346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Bežné bankové úvery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619 084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Časové rozlíšenie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26 616 816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26 552 980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27 139 051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/>
      </w:pPr>
      <w:r>
        <w:rPr/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4"/>
          <w:szCs w:val="24"/>
          <w:lang w:val="sk-SK"/>
        </w:rPr>
      </w:pPr>
      <w:r>
        <w:rPr>
          <w:rFonts w:eastAsia="MS Mincho" w:cs="Times New Roman" w:ascii="Times New Roman" w:hAnsi="Times New Roman"/>
          <w:b/>
          <w:bCs/>
          <w:sz w:val="24"/>
          <w:szCs w:val="24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/>
      </w:r>
    </w:p>
    <w:sectPr>
      <w:headerReference w:type="default" r:id="rId6"/>
      <w:footerReference w:type="default" r:id="rId7"/>
      <w:type w:val="nextPage"/>
      <w:pgSz w:w="11906" w:h="16838"/>
      <w:pgMar w:left="1418" w:right="1134" w:header="709" w:top="1134" w:footer="709" w:bottom="1418" w:gutter="0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ms Rmn">
    <w:altName w:val="Times New Roman"/>
    <w:charset w:val="ee"/>
    <w:family w:val="roman"/>
    <w:pitch w:val="variable"/>
  </w:font>
  <w:font w:name="MS Serif">
    <w:charset w:val="ee"/>
    <w:family w:val="roman"/>
    <w:pitch w:val="variable"/>
  </w:font>
  <w:font w:name="Helv">
    <w:altName w:val="Arial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>
        <w:sz w:val="24"/>
      </w:rPr>
    </w:pPr>
    <w:r>
      <w:rPr>
        <w:sz w:val="24"/>
      </w:rPr>
    </w:r>
    <w:r>
      <mc:AlternateContent>
        <mc:Choice Requires="wps">
          <w:drawing>
            <wp:anchor behindDoc="0" distT="0" distB="0" distL="0" distR="0" simplePos="0" locked="0" layoutInCell="0" allowOverlap="1" relativeHeight="1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5761355" cy="293370"/>
              <wp:effectExtent l="0" t="0" r="0" b="0"/>
              <wp:wrapSquare wrapText="bothSides"/>
              <wp:docPr id="5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1355" cy="2933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  <w:sz w:val="24"/>
                            </w:rPr>
                          </w:pPr>
                          <w:r>
                            <w:rPr/>
                            <w:tab/>
                            <w:t xml:space="preserve">-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  <w:r>
                            <w:rPr/>
                            <w:t xml:space="preserve"> -</w:t>
                            <w:tab/>
                            <w:t xml:space="preserve"> </w:t>
                          </w:r>
                        </w:p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53.65pt;height:23.1pt;mso-wrap-distance-left:0pt;mso-wrap-distance-right:0pt;mso-wrap-distance-top:0pt;mso-wrap-distance-bottom:0pt;margin-top:0.05pt;mso-position-vertical-relative:text;margin-left:7.0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>
                        <w:rStyle w:val="Pagenumber"/>
                        <w:sz w:val="24"/>
                      </w:rPr>
                    </w:pPr>
                    <w:r>
                      <w:rPr/>
                      <w:tab/>
                      <w:t xml:space="preserve">-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  <w:r>
                      <w:rPr/>
                      <w:t xml:space="preserve"> -</w:t>
                      <w:tab/>
                      <w:t xml:space="preserve"> </w:t>
                    </w:r>
                  </w:p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42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ms Rmn" w:hAnsi="Tms Rmn" w:eastAsia="Times New Roman" w:cs="Times New Roman"/>
        <w:lang w:val="en-US" w:eastAsia="zh-CN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MS Serif" w:hAnsi="MS Serif" w:eastAsia="Times New Roman" w:cs="Times New Roman"/>
      <w:color w:val="auto"/>
      <w:kern w:val="0"/>
      <w:sz w:val="20"/>
      <w:szCs w:val="20"/>
      <w:lang w:val="sk-SK" w:eastAsia="cs-CZ" w:bidi="ar-SA"/>
    </w:rPr>
  </w:style>
  <w:style w:type="paragraph" w:styleId="Nadpis1">
    <w:name w:val="Heading 1"/>
    <w:basedOn w:val="Normal"/>
    <w:next w:val="Normal"/>
    <w:qFormat/>
    <w:pPr>
      <w:spacing w:before="240" w:after="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al"/>
    <w:next w:val="Normal"/>
    <w:qFormat/>
    <w:pPr>
      <w:spacing w:before="120" w:after="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al"/>
    <w:next w:val="NormalIndent"/>
    <w:qFormat/>
    <w:pPr>
      <w:ind w:left="354" w:hanging="0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al"/>
    <w:next w:val="NormalIndent"/>
    <w:qFormat/>
    <w:pPr>
      <w:ind w:left="354" w:hanging="0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al"/>
    <w:next w:val="NormalIndent"/>
    <w:qFormat/>
    <w:pPr>
      <w:ind w:left="708" w:hanging="0"/>
      <w:outlineLvl w:val="4"/>
    </w:pPr>
    <w:rPr>
      <w:rFonts w:ascii="Tms Rmn" w:hAnsi="Tms Rmn"/>
      <w:b/>
      <w:bCs/>
    </w:rPr>
  </w:style>
  <w:style w:type="paragraph" w:styleId="Nadpis6">
    <w:name w:val="Heading 6"/>
    <w:basedOn w:val="Normal"/>
    <w:next w:val="NormalIndent"/>
    <w:qFormat/>
    <w:pPr>
      <w:ind w:left="708" w:hanging="0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al"/>
    <w:next w:val="NormalIndent"/>
    <w:qFormat/>
    <w:pPr>
      <w:ind w:left="708" w:hanging="0"/>
      <w:outlineLvl w:val="6"/>
    </w:pPr>
    <w:rPr>
      <w:rFonts w:ascii="Tms Rmn" w:hAnsi="Tms Rmn"/>
      <w:i/>
      <w:iCs/>
    </w:rPr>
  </w:style>
  <w:style w:type="paragraph" w:styleId="Nadpis8">
    <w:name w:val="Heading 8"/>
    <w:basedOn w:val="Normal"/>
    <w:next w:val="NormalIndent"/>
    <w:qFormat/>
    <w:pPr>
      <w:ind w:left="708" w:hanging="0"/>
      <w:outlineLvl w:val="7"/>
    </w:pPr>
    <w:rPr>
      <w:rFonts w:ascii="Tms Rmn" w:hAnsi="Tms Rmn"/>
      <w:i/>
      <w:iCs/>
    </w:rPr>
  </w:style>
  <w:style w:type="paragraph" w:styleId="Nadpis9">
    <w:name w:val="Heading 9"/>
    <w:basedOn w:val="Normal"/>
    <w:next w:val="NormalIndent"/>
    <w:qFormat/>
    <w:pPr>
      <w:ind w:left="708" w:hanging="0"/>
      <w:outlineLvl w:val="8"/>
    </w:pPr>
    <w:rPr>
      <w:rFonts w:ascii="Tms Rmn" w:hAnsi="Tms Rm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">
    <w:name w:val="Ukotvenie poznámky pod čiarou"/>
    <w:rPr>
      <w:sz w:val="16"/>
      <w:szCs w:val="16"/>
      <w:vertAlign w:val="superscript"/>
    </w:rPr>
  </w:style>
  <w:style w:type="character" w:styleId="FootnoteCharacters">
    <w:name w:val="Footnote Characters"/>
    <w:semiHidden/>
    <w:qFormat/>
    <w:rPr>
      <w:sz w:val="16"/>
      <w:szCs w:val="16"/>
      <w:vertAlign w:val="superscript"/>
    </w:rPr>
  </w:style>
  <w:style w:type="character" w:styleId="Pagenumber">
    <w:name w:val="page number"/>
    <w:basedOn w:val="DefaultParagraphFont"/>
    <w:qFormat/>
    <w:rPr/>
  </w:style>
  <w:style w:type="character" w:styleId="TextbublinyChar" w:customStyle="1">
    <w:name w:val="Text bubliny Char"/>
    <w:link w:val="Textbubliny"/>
    <w:qFormat/>
    <w:rsid w:val="00a20618"/>
    <w:rPr>
      <w:rFonts w:ascii="Segoe UI" w:hAnsi="Segoe UI" w:cs="Segoe UI"/>
      <w:sz w:val="18"/>
      <w:szCs w:val="18"/>
      <w:lang w:eastAsia="cs-CZ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rsid w:val="00cc502b"/>
    <w:pPr>
      <w:spacing w:before="0" w:after="12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Indent">
    <w:name w:val="Normal Indent"/>
    <w:basedOn w:val="Normal"/>
    <w:qFormat/>
    <w:pPr>
      <w:ind w:left="708" w:hanging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20"/>
        <w:tab w:val="center" w:pos="4819" w:leader="none"/>
        <w:tab w:val="right" w:pos="9071" w:leader="none"/>
      </w:tabs>
    </w:pPr>
    <w:rPr/>
  </w:style>
  <w:style w:type="paragraph" w:styleId="Poznmkapodiarou">
    <w:name w:val="Footnote Text"/>
    <w:basedOn w:val="Normal"/>
    <w:semiHidden/>
    <w:pPr/>
    <w:rPr/>
  </w:style>
  <w:style w:type="paragraph" w:styleId="Odsadenietelatextu">
    <w:name w:val="Body Text Indent"/>
    <w:basedOn w:val="Normal"/>
    <w:pPr>
      <w:tabs>
        <w:tab w:val="clear" w:pos="720"/>
        <w:tab w:val="left" w:pos="709" w:leader="none"/>
        <w:tab w:val="left" w:pos="2977" w:leader="none"/>
        <w:tab w:val="left" w:pos="4962" w:leader="none"/>
        <w:tab w:val="left" w:pos="6663" w:leader="none"/>
        <w:tab w:val="left" w:pos="8222" w:leader="none"/>
      </w:tabs>
      <w:ind w:left="426" w:hanging="0"/>
      <w:jc w:val="both"/>
    </w:pPr>
    <w:rPr>
      <w:rFonts w:ascii="Times New Roman" w:hAnsi="Times New Roman"/>
      <w:sz w:val="26"/>
      <w:szCs w:val="26"/>
    </w:rPr>
  </w:style>
  <w:style w:type="paragraph" w:styleId="BodyTextIndent2">
    <w:name w:val="Body Text Indent 2"/>
    <w:basedOn w:val="Normal"/>
    <w:qFormat/>
    <w:pPr>
      <w:tabs>
        <w:tab w:val="clear" w:pos="720"/>
        <w:tab w:val="left" w:pos="2127" w:leader="none"/>
        <w:tab w:val="left" w:pos="3686" w:leader="none"/>
        <w:tab w:val="left" w:pos="5387" w:leader="none"/>
        <w:tab w:val="left" w:pos="6804" w:leader="none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PlainText">
    <w:name w:val="Plain Text"/>
    <w:basedOn w:val="Normal"/>
    <w:qFormat/>
    <w:rsid w:val="00af55b5"/>
    <w:pPr/>
    <w:rPr>
      <w:rFonts w:ascii="Courier New" w:hAnsi="Courier New" w:cs="Courier New"/>
      <w:lang w:val="cs-CZ"/>
    </w:rPr>
  </w:style>
  <w:style w:type="paragraph" w:styleId="BalloonText">
    <w:name w:val="Balloon Text"/>
    <w:basedOn w:val="Normal"/>
    <w:link w:val="TextbublinyChar"/>
    <w:qFormat/>
    <w:rsid w:val="00a20618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hart" Target="charts/chart1.xml"/><Relationship Id="rId3" Type="http://schemas.openxmlformats.org/officeDocument/2006/relationships/chart" Target="charts/chart2.xml"/><Relationship Id="rId4" Type="http://schemas.openxmlformats.org/officeDocument/2006/relationships/chart" Target="charts/chart3.xml"/><Relationship Id="rId5" Type="http://schemas.openxmlformats.org/officeDocument/2006/relationships/chart" Target="charts/chart4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.xlsx"/>
</Relationships>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1.xlsx"/>
</Relationships>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2.xlsx"/>
</Relationships>
</file>

<file path=word/charts/_rels/chart4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3.xlsx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1330625"/>
          <c:y val="0.0452222222222222"/>
          <c:w val="0.85025"/>
          <c:h val="0.87244444444444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20281645</c:v>
                </c:pt>
                <c:pt idx="1">
                  <c:v>21592002</c:v>
                </c:pt>
                <c:pt idx="2">
                  <c:v>27470579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3805034</c:v>
                </c:pt>
                <c:pt idx="1">
                  <c:v>2822811</c:v>
                </c:pt>
                <c:pt idx="2">
                  <c:v>2304234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1080000</c:v>
                </c:pt>
                <c:pt idx="1">
                  <c:v>314866</c:v>
                </c:pt>
                <c:pt idx="2">
                  <c:v>241155</c:v>
                </c:pt>
              </c:numCache>
            </c:numRef>
          </c:val>
        </c:ser>
        <c:gapWidth val="50"/>
        <c:overlap val="30"/>
        <c:axId val="53537548"/>
        <c:axId val="48706423"/>
      </c:barChart>
      <c:catAx>
        <c:axId val="53537548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7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48706423"/>
        <c:crosses val="autoZero"/>
        <c:auto val="1"/>
        <c:lblAlgn val="ctr"/>
        <c:lblOffset val="100"/>
        <c:noMultiLvlLbl val="0"/>
      </c:catAx>
      <c:valAx>
        <c:axId val="48706423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7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53537548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251125"/>
          <c:y val="0.0992222222222222"/>
          <c:w val="0.232889555597225"/>
          <c:h val="0.131681297921991"/>
        </c:manualLayout>
      </c:layout>
      <c:overlay val="0"/>
      <c:spPr>
        <a:noFill/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7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27375"/>
          <c:y val="0.0537777777777778"/>
          <c:w val="0.692"/>
          <c:h val="0.84844444444444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10071278</c:v>
                </c:pt>
                <c:pt idx="1">
                  <c:v>8339915</c:v>
                </c:pt>
                <c:pt idx="2">
                  <c:v>7468033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17067773</c:v>
                </c:pt>
                <c:pt idx="1">
                  <c:v>18213065</c:v>
                </c:pt>
                <c:pt idx="2">
                  <c:v>19148783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</c:numCache>
            </c:numRef>
          </c:val>
        </c:ser>
        <c:gapWidth val="50"/>
        <c:overlap val="100"/>
        <c:axId val="85764966"/>
        <c:axId val="24867387"/>
      </c:barChart>
      <c:catAx>
        <c:axId val="85764966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24867387"/>
        <c:crosses val="autoZero"/>
        <c:auto val="1"/>
        <c:lblAlgn val="ctr"/>
        <c:lblOffset val="100"/>
        <c:noMultiLvlLbl val="0"/>
      </c:catAx>
      <c:valAx>
        <c:axId val="24867387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85764966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10625"/>
          <c:y val="0.434444444444444"/>
          <c:w val="0.448653040815051"/>
          <c:h val="0.165685076119569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2706875"/>
          <c:y val="0.054"/>
          <c:w val="0.6955"/>
          <c:h val="0.847666666666667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12842203</c:v>
                </c:pt>
                <c:pt idx="1">
                  <c:v>10096111</c:v>
                </c:pt>
                <c:pt idx="2">
                  <c:v>8649361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14280836</c:v>
                </c:pt>
                <c:pt idx="1">
                  <c:v>16443294</c:v>
                </c:pt>
                <c:pt idx="2">
                  <c:v>17951934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16012</c:v>
                </c:pt>
                <c:pt idx="1">
                  <c:v>13575</c:v>
                </c:pt>
                <c:pt idx="2">
                  <c:v>16421</c:v>
                </c:pt>
              </c:numCache>
            </c:numRef>
          </c:val>
        </c:ser>
        <c:gapWidth val="50"/>
        <c:overlap val="100"/>
        <c:axId val="52362279"/>
        <c:axId val="26534095"/>
      </c:barChart>
      <c:catAx>
        <c:axId val="52362279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5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26534095"/>
        <c:crosses val="autoZero"/>
        <c:auto val="1"/>
        <c:lblAlgn val="ctr"/>
        <c:lblOffset val="100"/>
        <c:noMultiLvlLbl val="0"/>
      </c:catAx>
      <c:valAx>
        <c:axId val="26534095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5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52362279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06"/>
          <c:y val="0.390555555555556"/>
          <c:w val="0.499031189449341"/>
          <c:h val="0.156906322924769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120625"/>
          <c:y val="0.0725555555555556"/>
          <c:w val="0.863625"/>
          <c:h val="0.86133333333333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Stav k 1.1.2022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0</c:f>
              <c:numCache>
                <c:formatCode>General</c:formatCode>
                <c:ptCount val="1"/>
                <c:pt idx="0">
                  <c:v>9218458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1</c:f>
              <c:numCache>
                <c:formatCode>General</c:formatCode>
                <c:ptCount val="1"/>
                <c:pt idx="0">
                  <c:v>382010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3"/>
          <c:order val="3"/>
          <c:tx>
            <c:strRef>
              <c:f>label 3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3</c:f>
              <c:numCache>
                <c:formatCode>General</c:formatCode>
                <c:ptCount val="1"/>
                <c:pt idx="0">
                  <c:v>-68148</c:v>
                </c:pt>
              </c:numCache>
            </c:numRef>
          </c:val>
        </c:ser>
        <c:ser>
          <c:idx val="4"/>
          <c:order val="4"/>
          <c:tx>
            <c:strRef>
              <c:f>label 4</c:f>
              <c:strCache>
                <c:ptCount val="1"/>
                <c:pt idx="0">
                  <c:v>Stav k 31.12.2022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4</c:f>
              <c:numCache>
                <c:formatCode>General</c:formatCode>
                <c:ptCount val="1"/>
                <c:pt idx="0">
                  <c:v>8402397</c:v>
                </c:pt>
              </c:numCache>
            </c:numRef>
          </c:val>
        </c:ser>
        <c:gapWidth val="50"/>
        <c:overlap val="30"/>
        <c:axId val="24979952"/>
        <c:axId val="84940220"/>
      </c:barChart>
      <c:catAx>
        <c:axId val="24979952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84940220"/>
        <c:crosses val="autoZero"/>
        <c:auto val="1"/>
        <c:lblAlgn val="ctr"/>
        <c:lblOffset val="100"/>
        <c:noMultiLvlLbl val="0"/>
      </c:catAx>
      <c:valAx>
        <c:axId val="84940220"/>
        <c:scaling>
          <c:orientation val="minMax"/>
        </c:scaling>
        <c:delete val="0"/>
        <c:axPos val="l"/>
        <c:numFmt formatCode="\ [$€-41B]\ * #,##0.00\ ;\ [$€-41B]\ * \(#,##0.00\);\ [$€-41B]\ * \-#\ 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24979952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529375"/>
          <c:y val="0.0968888888888889"/>
          <c:w val="0.289580598787424"/>
          <c:h val="0.349816646294033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BCF9C-BD25-4625-8908-D1B459F4F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Application>LibreOffice/7.0.4.2$Windows_X86_64 LibreOffice_project/dcf040e67528d9187c66b2379df5ea4407429775</Application>
  <AppVersion>15.0000</AppVersion>
  <Pages>38</Pages>
  <Words>1884</Words>
  <Characters>8692</Characters>
  <CharactersWithSpaces>11499</CharactersWithSpaces>
  <Paragraphs>592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2020-04-27T10:05:00Z</dcterms:created>
  <dc:creator>Management Library</dc:creator>
  <dc:description/>
  <dc:language>sk-SK</dc:language>
  <cp:lastModifiedBy>Ing. Martin Šepeľák</cp:lastModifiedBy>
  <cp:lastPrinted>2020-11-02T18:49:00Z</cp:lastPrinted>
  <dcterms:modified xsi:type="dcterms:W3CDTF">2023-03-28T13:51:00Z</dcterms:modified>
  <cp:revision>113</cp:revision>
  <dc:subject/>
  <dc:title>PLYNROZ, akciová spoločnosť, Sobrance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Application">
    <vt:lpwstr>Microsoft Azure Information Protection</vt:lpwstr>
  </property>
  <property fmtid="{D5CDD505-2E9C-101B-9397-08002B2CF9AE}" pid="3" name="MSIP_Label_17cb76b2-10b8-4fe1-93d4-2202842406cd_Enabled">
    <vt:lpwstr>True</vt:lpwstr>
  </property>
  <property fmtid="{D5CDD505-2E9C-101B-9397-08002B2CF9AE}" pid="4" name="MSIP_Label_17cb76b2-10b8-4fe1-93d4-2202842406cd_Extended_MSFT_Method">
    <vt:lpwstr>Manual</vt:lpwstr>
  </property>
  <property fmtid="{D5CDD505-2E9C-101B-9397-08002B2CF9AE}" pid="5" name="MSIP_Label_17cb76b2-10b8-4fe1-93d4-2202842406cd_Name">
    <vt:lpwstr>External Public</vt:lpwstr>
  </property>
  <property fmtid="{D5CDD505-2E9C-101B-9397-08002B2CF9AE}" pid="6" name="MSIP_Label_17cb76b2-10b8-4fe1-93d4-2202842406cd_Owner">
    <vt:lpwstr>Martin_Sepelak@dell.com</vt:lpwstr>
  </property>
  <property fmtid="{D5CDD505-2E9C-101B-9397-08002B2CF9AE}" pid="7" name="MSIP_Label_17cb76b2-10b8-4fe1-93d4-2202842406cd_SetDate">
    <vt:lpwstr>2020-02-10T12:22:04.7235243Z</vt:lpwstr>
  </property>
  <property fmtid="{D5CDD505-2E9C-101B-9397-08002B2CF9AE}" pid="8" name="MSIP_Label_17cb76b2-10b8-4fe1-93d4-2202842406cd_SiteId">
    <vt:lpwstr>945c199a-83a2-4e80-9f8c-5a91be5752dd</vt:lpwstr>
  </property>
  <property fmtid="{D5CDD505-2E9C-101B-9397-08002B2CF9AE}" pid="9" name="aiplabel">
    <vt:lpwstr>External Public</vt:lpwstr>
  </property>
</Properties>
</file>