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_rels/chart1.xml.rels" ContentType="application/vnd.openxmlformats-package.relationships+xml"/>
  <Override PartName="/word/charts/_rels/chart2.xml.rels" ContentType="application/vnd.openxmlformats-package.relationships+xml"/>
  <Override PartName="/word/charts/_rels/chart3.xml.rels" ContentType="application/vnd.openxmlformats-package.relationships+xml"/>
  <Override PartName="/word/charts/_rels/chart4.xml.rels" ContentType="application/vnd.openxmlformats-package.relationships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embeddings/Microsoft_Excel_Worksheet.xlsx" ContentType="application/vnd.openxmlformats-officedocument.spreadsheetml.sheet"/>
  <Override PartName="/word/embeddings/Microsoft_Excel_Worksheet3.xlsx" ContentType="application/vnd.openxmlformats-officedocument.spreadsheetml.sheet"/>
  <Override PartName="/word/embeddings/Microsoft_Excel_Worksheet2.xlsx" ContentType="application/vnd.openxmlformats-officedocument.spreadsheetml.sheet"/>
  <Override PartName="/word/embeddings/Microsoft_Excel_Worksheet1.xlsx" ContentType="application/vnd.openxmlformats-officedocument.spreadsheetml.sheet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jc w:val="center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jc w:val="center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jc w:val="center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  <w:t xml:space="preserve">FELIX Mi, s.r.o.  </w:t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40"/>
          <w:szCs w:val="40"/>
        </w:rPr>
      </w:pPr>
      <w:r>
        <w:rPr>
          <w:rFonts w:ascii="Times New Roman" w:hAnsi="Times New Roman"/>
          <w:sz w:val="40"/>
          <w:szCs w:val="40"/>
        </w:rPr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jc w:val="center"/>
        <w:rPr>
          <w:rFonts w:ascii="Times New Roman" w:hAnsi="Times New Roman"/>
          <w:b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 xml:space="preserve"> </w:t>
      </w:r>
      <w:r>
        <w:rPr>
          <w:rFonts w:ascii="Times New Roman" w:hAnsi="Times New Roman"/>
          <w:b/>
          <w:sz w:val="40"/>
          <w:szCs w:val="40"/>
        </w:rPr>
        <w:t>V Ý R O Č N Á    S P R Á V A</w:t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jc w:val="center"/>
        <w:rPr>
          <w:rFonts w:ascii="Times New Roman" w:hAnsi="Times New Roman"/>
          <w:b/>
          <w:b/>
          <w:sz w:val="56"/>
          <w:szCs w:val="56"/>
        </w:rPr>
      </w:pPr>
      <w:r>
        <w:rPr>
          <w:rFonts w:ascii="Times New Roman" w:hAnsi="Times New Roman"/>
          <w:b/>
          <w:sz w:val="40"/>
          <w:szCs w:val="40"/>
        </w:rPr>
        <w:t xml:space="preserve">Z A  R O K  2 0 2 2  </w:t>
      </w:r>
    </w:p>
    <w:p>
      <w:pPr>
        <w:pStyle w:val="Normal"/>
        <w:tabs>
          <w:tab w:val="clear" w:pos="720"/>
          <w:tab w:val="left" w:pos="1872" w:leader="none"/>
          <w:tab w:val="left" w:pos="2160" w:leader="none"/>
          <w:tab w:val="left" w:pos="4752" w:leader="none"/>
        </w:tabs>
        <w:spacing w:lineRule="atLeast" w:line="480" w:before="0" w:after="1440"/>
        <w:ind w:right="-12" w:hanging="0"/>
        <w:jc w:val="center"/>
        <w:rPr>
          <w:rFonts w:ascii="Times New Roman" w:hAnsi="Times New Roman"/>
          <w:b/>
          <w:b/>
          <w:sz w:val="30"/>
          <w:szCs w:val="30"/>
        </w:rPr>
      </w:pPr>
      <w:r>
        <w:rPr>
          <w:rFonts w:ascii="Times New Roman" w:hAnsi="Times New Roman"/>
          <w:b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_________________________________________________________________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Adresa:</w:t>
        <w:tab/>
        <w:t xml:space="preserve">FELIX Mi, s.r.o., Továrenská 2, 071 01 Michalovce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IČO:</w:t>
        <w:tab/>
        <w:tab/>
        <w:t>36 574 520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Telefón:</w:t>
        <w:tab/>
        <w:t>056/688 47 41</w:t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ind w:right="15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ind w:right="15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ind w:right="15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ind w:right="15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ind w:right="15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</w:tabs>
        <w:ind w:right="15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O B S A H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>PREHĽAD FINANČNÝCH ÚDAJOV ZA ROKY 2020 - 2022</w:t>
        <w:tab/>
        <w:t xml:space="preserve"> 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 xml:space="preserve">SPRÁVA KONATEĽA O PODNIKATEĽSKEJ </w:t>
        <w:tab/>
        <w:t xml:space="preserve">  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>ČINNOSTI V ROKU 2022: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a) Informácie o vývoji účtovnej jednotky, o stave v ktorom sa nachádza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a o významných rizikách a neistotách, ktorým je účtovná jednotka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vystavená.</w:t>
      </w:r>
    </w:p>
    <w:p>
      <w:pPr>
        <w:pStyle w:val="Normal"/>
        <w:tabs>
          <w:tab w:val="clear" w:pos="720"/>
          <w:tab w:val="left" w:pos="993" w:leader="none"/>
          <w:tab w:val="left" w:pos="1418" w:leader="none"/>
          <w:tab w:val="left" w:pos="2977" w:leader="none"/>
          <w:tab w:val="left" w:pos="7938" w:leader="none"/>
        </w:tabs>
        <w:ind w:left="993" w:right="152" w:hanging="284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b) Informácie o udalostiach osobitného významu, ktoré nastali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po skončení účtovného obdobia, za ktoré sa vyhotovuje výročná správa.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c) Informácie o predpokladanom budúcom vývoji činnosti účtovnej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jednotky.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d) Informácia o nákladoch na činnosť v oblasti výskumu a vývoja.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e) Informácia o nadobúdaní vlastných obchodných podielov.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f) Návrh na schválenie účtovnej závierky a na rozdelenie zisku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alebo vyrovnanie straty.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g) Informácie o údajoch požadovaných podľa osobitných predpisov.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h) Informácie o tom, či účtovná jednotka má organizačnú zložku v zahraničí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>ÚČTOVNÁ ZÁVIERKA ZA ROK 2022</w:t>
        <w:tab/>
        <w:tab/>
        <w:t xml:space="preserve">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>- Bilancia (súvaha)</w:t>
        <w:tab/>
        <w:tab/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>- Výkaz ziskov a strát</w:t>
        <w:tab/>
        <w:tab/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</w:t>
      </w: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jc w:val="center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righ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righ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righ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0" w:leader="none"/>
          <w:tab w:val="left" w:pos="2977" w:leader="none"/>
          <w:tab w:val="left" w:pos="7938" w:leader="none"/>
        </w:tabs>
        <w:ind w:right="152" w:firstLine="142"/>
        <w:jc w:val="right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clear" w:pos="720"/>
          <w:tab w:val="left" w:pos="0" w:leader="none"/>
          <w:tab w:val="left" w:pos="2977" w:leader="none"/>
          <w:tab w:val="left" w:pos="7938" w:leader="none"/>
        </w:tabs>
        <w:ind w:right="152" w:firstLine="142"/>
        <w:jc w:val="right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clear" w:pos="720"/>
          <w:tab w:val="left" w:pos="0" w:leader="none"/>
          <w:tab w:val="left" w:pos="2977" w:leader="none"/>
          <w:tab w:val="left" w:pos="7938" w:leader="none"/>
        </w:tabs>
        <w:ind w:right="152" w:firstLine="142"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center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PREHĽAD FINANČNÝCH ÚDAJOV ZA ROK 2020-2022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center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_______________________________________________________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T R Ž B Y,  P R I D A N Á  H O D N O T A,  H O S P.   V Ý S L E D O K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2 0 2 0 – 2 0 2 2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  <w:tab w:val="right" w:pos="9203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</w:t>
      </w:r>
      <w:r>
        <w:rPr/>
        <w:drawing>
          <wp:inline distT="0" distB="0" distL="0" distR="0">
            <wp:extent cx="5241925" cy="4725670"/>
            <wp:effectExtent l="0" t="0" r="0" b="0"/>
            <wp:docPr id="1" name="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"/>
              </a:graphicData>
            </a:graphic>
          </wp:inline>
        </w:drawing>
      </w:r>
      <w:r>
        <w:rPr>
          <w:rFonts w:ascii="Times New Roman" w:hAnsi="Times New Roman"/>
          <w:sz w:val="26"/>
          <w:szCs w:val="26"/>
        </w:rPr>
        <w:tab/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right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right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A K T Í VA  2020 – 2022                                 P A S Í V A 2020 – 2022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/>
        <w:drawing>
          <wp:anchor behindDoc="0" distT="0" distB="0" distL="0" distR="0" simplePos="0" locked="0" layoutInCell="0" allowOverlap="1" relativeHeight="13">
            <wp:simplePos x="0" y="0"/>
            <wp:positionH relativeFrom="column">
              <wp:posOffset>2992120</wp:posOffset>
            </wp:positionH>
            <wp:positionV relativeFrom="paragraph">
              <wp:posOffset>4445</wp:posOffset>
            </wp:positionV>
            <wp:extent cx="2598420" cy="3992880"/>
            <wp:effectExtent l="0" t="0" r="0" b="0"/>
            <wp:wrapNone/>
            <wp:docPr id="2" name="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"/>
              </a:graphicData>
            </a:graphic>
          </wp:anchor>
        </w:drawing>
        <w:drawing>
          <wp:inline distT="0" distB="0" distL="0" distR="0">
            <wp:extent cx="2628900" cy="3977640"/>
            <wp:effectExtent l="0" t="0" r="0" b="0"/>
            <wp:docPr id="3" name="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inline>
        </w:drawing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>
          <w:rFonts w:ascii="Times New Roman" w:hAnsi="Times New Roman"/>
          <w:i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>
          <w:rFonts w:ascii="Times New Roman" w:hAnsi="Times New Roman"/>
          <w:i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>
          <w:rFonts w:ascii="Times New Roman" w:hAnsi="Times New Roman"/>
          <w:i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center"/>
        <w:rPr>
          <w:rFonts w:ascii="Times New Roman" w:hAnsi="Times New Roman"/>
          <w:i/>
          <w:i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PREHĽAD PEŇAŽNÝCH TOKOV 2022</w:t>
      </w:r>
    </w:p>
    <w:p>
      <w:pPr>
        <w:pStyle w:val="Normal"/>
        <w:tabs>
          <w:tab w:val="clear" w:pos="720"/>
          <w:tab w:val="left" w:pos="6440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>
          <w:rFonts w:ascii="Times New Roman" w:hAnsi="Times New Roman"/>
          <w:i/>
          <w:sz w:val="26"/>
          <w:szCs w:val="26"/>
        </w:rPr>
        <w:tab/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/>
        <w:drawing>
          <wp:inline distT="0" distB="0" distL="0" distR="0">
            <wp:extent cx="5539740" cy="2979420"/>
            <wp:effectExtent l="0" t="0" r="0" b="0"/>
            <wp:docPr id="4" name="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right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right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right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SPRÁVA KONATEĽA O PODNIKATEĽSKEJ ČINNOSTI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V ROKU 2022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________________________________________________________________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a) Informácie o vývoji účtovnej jednotky, o stave v ktorom sa nachádza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</w:t>
      </w:r>
      <w:r>
        <w:rPr>
          <w:rFonts w:ascii="Times New Roman" w:hAnsi="Times New Roman"/>
          <w:b/>
          <w:sz w:val="22"/>
          <w:szCs w:val="22"/>
        </w:rPr>
        <w:t>a o významných rizikách a neistotách, ktorým je účtovná jednotka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</w:t>
      </w:r>
      <w:r>
        <w:rPr>
          <w:rFonts w:ascii="Times New Roman" w:hAnsi="Times New Roman"/>
          <w:b/>
          <w:sz w:val="22"/>
          <w:szCs w:val="22"/>
        </w:rPr>
        <w:t>vystavená.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426" w:right="152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426" w:right="152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Účtovná jednotka FELIX Mi s.r.o. v priebehu roka 2022 vykonávala svoju činnosť v štandardnom režime bez mimoriadnych výkyvov, rizík a neistôt.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426" w:right="152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426" w:right="152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Odberateľom dodávala svoju produkciu v dohodnutých termínoch a štandardnej kvalite. Finančné záväzky voči svojím dodávateľom uhrádzala v termínoch splatnosti.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426" w:right="152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426" w:right="152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Pri úhrade vlastných pohľadávok sa nevyskytli problémy a pohľadávky boli uhrádzané dlžníkmi v termínoch splatnosti.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426" w:right="152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426" w:right="152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Celkovo možno hodnotiť vývoj spoločnosti ako štandardný a mierne rizikový.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VÝKAZ ZISKOV A STRÁT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Ukazovatele efektívnosti hospodárenia: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4962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ab/>
        <w:tab/>
        <w:tab/>
        <w:t>k 31.12.2022</w:t>
        <w:tab/>
        <w:t xml:space="preserve">  k 31.12.2021</w:t>
      </w:r>
      <w:r>
        <w:rPr>
          <w:rFonts w:ascii="Times New Roman" w:hAnsi="Times New Roman"/>
          <w:sz w:val="22"/>
          <w:szCs w:val="22"/>
        </w:rPr>
        <w:tab/>
        <w:t xml:space="preserve">                                                                                                                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a) Rentabilita celkového kapitálu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Použiteľný zisk+úroky     1 017 229         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670" w:leader="none"/>
          <w:tab w:val="left" w:pos="6946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–––––––––––––––––– </w:t>
      </w:r>
      <w:r>
        <w:rPr>
          <w:rFonts w:ascii="Times New Roman" w:hAnsi="Times New Roman"/>
          <w:sz w:val="22"/>
          <w:szCs w:val="22"/>
        </w:rPr>
        <w:t>= ––––––––––  x  100  =                         3,45 %</w:t>
        <w:tab/>
        <w:t xml:space="preserve">    3,42 %       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Celkový kapitál k 1.1.      29 498 715               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b) Rentabilita vlastného kapitálu;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Použiteľný zisk                1 017 229                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670" w:leader="none"/>
          <w:tab w:val="left" w:pos="6946" w:leader="none"/>
        </w:tabs>
        <w:ind w:right="-1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––––––––––––––––– </w:t>
      </w:r>
      <w:r>
        <w:rPr>
          <w:rFonts w:ascii="Times New Roman" w:hAnsi="Times New Roman"/>
          <w:sz w:val="22"/>
          <w:szCs w:val="22"/>
        </w:rPr>
        <w:t>= –––––––––––  x  100  =                          3,46 %</w:t>
        <w:tab/>
        <w:t xml:space="preserve">    3,43 %   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Vlastný kapitál  k 1.1.     29 405 015                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c) Nákladová rentabilita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Hosp.výsledok               1 017 229          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670" w:leader="none"/>
          <w:tab w:val="left" w:pos="6946" w:leader="none"/>
        </w:tabs>
        <w:ind w:right="-1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    </w:t>
      </w:r>
      <w:r>
        <w:rPr>
          <w:rFonts w:ascii="Times New Roman" w:hAnsi="Times New Roman"/>
          <w:sz w:val="22"/>
          <w:szCs w:val="22"/>
        </w:rPr>
        <w:t>=  ––––––––––   x   100    =                       311,75 %</w:t>
        <w:tab/>
        <w:t xml:space="preserve">  297,07 %      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Celkové náklady              326 294              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d) Nákladovosť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Náklady celkom            326 294            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529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 </w:t>
      </w:r>
      <w:r>
        <w:rPr>
          <w:rFonts w:ascii="Times New Roman" w:hAnsi="Times New Roman"/>
          <w:sz w:val="22"/>
          <w:szCs w:val="22"/>
        </w:rPr>
        <w:t xml:space="preserve">= ––––––––––––  x   100     =                       24,28 % </w:t>
        <w:tab/>
        <w:t xml:space="preserve">     25,18 %        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Výnosy celkom           1 343 523        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BILANCIA  (SÚVAHA)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ind w:right="-12" w:firstLine="547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Analýza štruktúry majetku (aktív), popis obchodného majetku, stálych aktív, obežného majetku, ostatných aktív, %-tuálne zloženie,  medziročný pohyb. Analýza zdrojov (pasív), vlastného imania, cudzích zdrojov, ostatných pasív.</w:t>
      </w:r>
    </w:p>
    <w:p>
      <w:pPr>
        <w:pStyle w:val="Normal"/>
        <w:ind w:right="-12" w:firstLine="547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ŠTRUKTÚRA MAJETKU A ZDROJOV</w:t>
      </w:r>
    </w:p>
    <w:tbl>
      <w:tblPr>
        <w:tblW w:w="903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1950"/>
        <w:gridCol w:w="1559"/>
        <w:gridCol w:w="1190"/>
        <w:gridCol w:w="1647"/>
        <w:gridCol w:w="1188"/>
        <w:gridCol w:w="1504"/>
      </w:tblGrid>
      <w:tr>
        <w:trPr>
          <w:cantSplit w:val="true"/>
        </w:trPr>
        <w:tc>
          <w:tcPr>
            <w:tcW w:w="195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ind w:left="57" w:right="57" w:hanging="0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 xml:space="preserve">Ukazovateľ </w:t>
            </w:r>
          </w:p>
          <w:p>
            <w:pPr>
              <w:pStyle w:val="Normal"/>
              <w:widowControl w:val="false"/>
              <w:ind w:left="57" w:right="57" w:hanging="0"/>
              <w:rPr>
                <w:rFonts w:ascii="Times New Roman" w:hAnsi="Times New Roman"/>
                <w:b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(v eurách)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ind w:left="57" w:right="57" w:hanging="0"/>
              <w:jc w:val="center"/>
              <w:rPr>
                <w:rFonts w:ascii="Times New Roman" w:hAnsi="Times New Roman"/>
                <w:b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Stav k 31.12.2022</w:t>
            </w:r>
          </w:p>
        </w:tc>
        <w:tc>
          <w:tcPr>
            <w:tcW w:w="1190" w:type="dxa"/>
            <w:tcBorders>
              <w:top w:val="single" w:sz="18" w:space="0" w:color="000000"/>
              <w:bottom w:val="single" w:sz="18" w:space="0" w:color="000000"/>
              <w:right w:val="single" w:sz="18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ind w:left="57" w:right="57" w:hanging="0"/>
              <w:jc w:val="center"/>
              <w:rPr>
                <w:rFonts w:ascii="Times New Roman" w:hAnsi="Times New Roman"/>
                <w:b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%</w:t>
            </w:r>
          </w:p>
        </w:tc>
        <w:tc>
          <w:tcPr>
            <w:tcW w:w="164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ind w:left="57" w:right="57" w:hanging="0"/>
              <w:jc w:val="center"/>
              <w:rPr>
                <w:rFonts w:ascii="Times New Roman" w:hAnsi="Times New Roman"/>
                <w:b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Stav k  31.12.2021</w:t>
            </w:r>
          </w:p>
        </w:tc>
        <w:tc>
          <w:tcPr>
            <w:tcW w:w="118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ind w:left="57" w:right="57" w:hanging="0"/>
              <w:jc w:val="center"/>
              <w:rPr>
                <w:rFonts w:ascii="Times New Roman" w:hAnsi="Times New Roman"/>
                <w:b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%</w:t>
            </w:r>
          </w:p>
        </w:tc>
        <w:tc>
          <w:tcPr>
            <w:tcW w:w="150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Rozdiel</w:t>
            </w:r>
          </w:p>
          <w:p>
            <w:pPr>
              <w:pStyle w:val="Normal"/>
              <w:widowControl w:val="false"/>
              <w:jc w:val="center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2022 – 2021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rPr>
                <w:rFonts w:ascii="Times New Roman" w:hAnsi="Times New Roman"/>
                <w:b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Neob majetok</w:t>
            </w:r>
          </w:p>
        </w:tc>
        <w:tc>
          <w:tcPr>
            <w:tcW w:w="1559" w:type="dxa"/>
            <w:tcBorders>
              <w:top w:val="single" w:sz="18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7 648 254</w:t>
            </w:r>
          </w:p>
        </w:tc>
        <w:tc>
          <w:tcPr>
            <w:tcW w:w="119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25,8</w:t>
            </w:r>
          </w:p>
        </w:tc>
        <w:tc>
          <w:tcPr>
            <w:tcW w:w="164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8 525 308</w:t>
            </w:r>
          </w:p>
        </w:tc>
        <w:tc>
          <w:tcPr>
            <w:tcW w:w="118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28,9</w:t>
            </w:r>
          </w:p>
        </w:tc>
        <w:tc>
          <w:tcPr>
            <w:tcW w:w="1504" w:type="dxa"/>
            <w:tcBorders>
              <w:top w:val="single" w:sz="18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-877 054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Obež majetok</w:t>
            </w:r>
          </w:p>
        </w:tc>
        <w:tc>
          <w:tcPr>
            <w:tcW w:w="155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22 011 354</w:t>
            </w:r>
          </w:p>
        </w:tc>
        <w:tc>
          <w:tcPr>
            <w:tcW w:w="1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74,2</w:t>
            </w:r>
          </w:p>
        </w:tc>
        <w:tc>
          <w:tcPr>
            <w:tcW w:w="1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20 973 288</w:t>
            </w: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71,1</w:t>
            </w:r>
          </w:p>
        </w:tc>
        <w:tc>
          <w:tcPr>
            <w:tcW w:w="1504" w:type="dxa"/>
            <w:tcBorders>
              <w:top w:val="single" w:sz="6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+1 038 066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zásoby</w:t>
            </w:r>
          </w:p>
        </w:tc>
        <w:tc>
          <w:tcPr>
            <w:tcW w:w="155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</w:t>
            </w:r>
          </w:p>
        </w:tc>
        <w:tc>
          <w:tcPr>
            <w:tcW w:w="1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</w:t>
            </w:r>
          </w:p>
        </w:tc>
        <w:tc>
          <w:tcPr>
            <w:tcW w:w="1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  <w:lang w:val="en-US"/>
              </w:rPr>
            </w:pPr>
            <w:r>
              <w:rPr>
                <w:rFonts w:ascii="Times New Roman" w:hAnsi="Times New Roman"/>
                <w:i/>
                <w:sz w:val="22"/>
                <w:szCs w:val="22"/>
                <w:lang w:val="en-US"/>
              </w:rPr>
              <w:t>-</w:t>
            </w: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</w:t>
            </w:r>
          </w:p>
        </w:tc>
        <w:tc>
          <w:tcPr>
            <w:tcW w:w="1504" w:type="dxa"/>
            <w:tcBorders>
              <w:top w:val="single" w:sz="6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pohľadávky</w:t>
            </w:r>
          </w:p>
        </w:tc>
        <w:tc>
          <w:tcPr>
            <w:tcW w:w="155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15 265 940</w:t>
            </w:r>
          </w:p>
        </w:tc>
        <w:tc>
          <w:tcPr>
            <w:tcW w:w="1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51,5</w:t>
            </w:r>
          </w:p>
        </w:tc>
        <w:tc>
          <w:tcPr>
            <w:tcW w:w="1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14 211 786</w:t>
            </w: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48,2</w:t>
            </w:r>
          </w:p>
        </w:tc>
        <w:tc>
          <w:tcPr>
            <w:tcW w:w="1504" w:type="dxa"/>
            <w:tcBorders>
              <w:top w:val="single" w:sz="6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+1 054 154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fin. majetok</w:t>
            </w:r>
          </w:p>
        </w:tc>
        <w:tc>
          <w:tcPr>
            <w:tcW w:w="155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6 745 414</w:t>
            </w:r>
          </w:p>
        </w:tc>
        <w:tc>
          <w:tcPr>
            <w:tcW w:w="1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22,7</w:t>
            </w:r>
          </w:p>
        </w:tc>
        <w:tc>
          <w:tcPr>
            <w:tcW w:w="1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6 761 502</w:t>
            </w: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22,9</w:t>
            </w:r>
          </w:p>
        </w:tc>
        <w:tc>
          <w:tcPr>
            <w:tcW w:w="1504" w:type="dxa"/>
            <w:tcBorders>
              <w:top w:val="single" w:sz="6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-16 088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0"/>
              <w:left w:val="single" w:sz="18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Čas. rozlíšenie</w:t>
            </w:r>
          </w:p>
        </w:tc>
        <w:tc>
          <w:tcPr>
            <w:tcW w:w="1559" w:type="dxa"/>
            <w:tcBorders>
              <w:top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119</w:t>
            </w:r>
          </w:p>
        </w:tc>
        <w:tc>
          <w:tcPr>
            <w:tcW w:w="11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  <w:tc>
          <w:tcPr>
            <w:tcW w:w="16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119</w:t>
            </w: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  <w:tc>
          <w:tcPr>
            <w:tcW w:w="1504" w:type="dxa"/>
            <w:tcBorders>
              <w:top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ind w:left="57" w:right="57" w:hanging="0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Aktíva celkom</w:t>
            </w:r>
          </w:p>
        </w:tc>
        <w:tc>
          <w:tcPr>
            <w:tcW w:w="1559" w:type="dxa"/>
            <w:tcBorders>
              <w:right w:val="single" w:sz="6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29 659 727</w:t>
            </w:r>
          </w:p>
        </w:tc>
        <w:tc>
          <w:tcPr>
            <w:tcW w:w="1190" w:type="dxa"/>
            <w:tcBorders>
              <w:left w:val="single" w:sz="6" w:space="0" w:color="000000"/>
              <w:right w:val="single" w:sz="6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647" w:type="dxa"/>
            <w:tcBorders>
              <w:left w:val="single" w:sz="6" w:space="0" w:color="000000"/>
              <w:right w:val="single" w:sz="6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29 498 715</w:t>
            </w:r>
          </w:p>
        </w:tc>
        <w:tc>
          <w:tcPr>
            <w:tcW w:w="1188" w:type="dxa"/>
            <w:tcBorders>
              <w:left w:val="single" w:sz="6" w:space="0" w:color="000000"/>
              <w:right w:val="single" w:sz="6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504" w:type="dxa"/>
            <w:tcBorders>
              <w:top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+161 012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Vlastné imanie </w:t>
            </w:r>
          </w:p>
        </w:tc>
        <w:tc>
          <w:tcPr>
            <w:tcW w:w="1559" w:type="dxa"/>
            <w:tcBorders>
              <w:top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29 550 362</w:t>
            </w:r>
          </w:p>
        </w:tc>
        <w:tc>
          <w:tcPr>
            <w:tcW w:w="11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99,6</w:t>
            </w:r>
          </w:p>
        </w:tc>
        <w:tc>
          <w:tcPr>
            <w:tcW w:w="16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29 405 015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99,7</w:t>
            </w:r>
          </w:p>
        </w:tc>
        <w:tc>
          <w:tcPr>
            <w:tcW w:w="1504" w:type="dxa"/>
            <w:tcBorders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+145 347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Záväzky</w:t>
            </w:r>
          </w:p>
        </w:tc>
        <w:tc>
          <w:tcPr>
            <w:tcW w:w="155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109 365</w:t>
            </w:r>
          </w:p>
        </w:tc>
        <w:tc>
          <w:tcPr>
            <w:tcW w:w="1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0,4</w:t>
            </w:r>
          </w:p>
        </w:tc>
        <w:tc>
          <w:tcPr>
            <w:tcW w:w="1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93 700</w:t>
            </w: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0,3</w:t>
            </w:r>
          </w:p>
        </w:tc>
        <w:tc>
          <w:tcPr>
            <w:tcW w:w="1504" w:type="dxa"/>
            <w:tcBorders>
              <w:top w:val="single" w:sz="6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+15 665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0"/>
              <w:left w:val="single" w:sz="18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bankové úvery</w:t>
            </w:r>
          </w:p>
        </w:tc>
        <w:tc>
          <w:tcPr>
            <w:tcW w:w="1559" w:type="dxa"/>
            <w:tcBorders>
              <w:top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</w:t>
            </w:r>
          </w:p>
        </w:tc>
        <w:tc>
          <w:tcPr>
            <w:tcW w:w="11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</w:t>
            </w:r>
          </w:p>
        </w:tc>
        <w:tc>
          <w:tcPr>
            <w:tcW w:w="164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</w:t>
            </w: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</w:t>
            </w:r>
          </w:p>
        </w:tc>
        <w:tc>
          <w:tcPr>
            <w:tcW w:w="1504" w:type="dxa"/>
            <w:tcBorders>
              <w:top w:val="single" w:sz="6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0"/>
              <w:left w:val="single" w:sz="18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Čas. rozlíšenie</w:t>
            </w:r>
          </w:p>
        </w:tc>
        <w:tc>
          <w:tcPr>
            <w:tcW w:w="1559" w:type="dxa"/>
            <w:tcBorders>
              <w:top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  <w:tc>
          <w:tcPr>
            <w:tcW w:w="11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  <w:tc>
          <w:tcPr>
            <w:tcW w:w="164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  <w:tc>
          <w:tcPr>
            <w:tcW w:w="1504" w:type="dxa"/>
            <w:tcBorders>
              <w:top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ind w:left="57" w:right="57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Pasíva celkom</w:t>
            </w:r>
          </w:p>
        </w:tc>
        <w:tc>
          <w:tcPr>
            <w:tcW w:w="1559" w:type="dxa"/>
            <w:tcBorders>
              <w:top w:val="single" w:sz="12" w:space="0" w:color="000000"/>
              <w:bottom w:val="single" w:sz="18" w:space="0" w:color="000000"/>
              <w:right w:val="single" w:sz="6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29 659 727</w:t>
            </w:r>
          </w:p>
        </w:tc>
        <w:tc>
          <w:tcPr>
            <w:tcW w:w="1190" w:type="dxa"/>
            <w:tcBorders>
              <w:top w:val="single" w:sz="12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647" w:type="dxa"/>
            <w:tcBorders>
              <w:top w:val="single" w:sz="12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ind w:left="57" w:right="57" w:hanging="0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29 498 715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504" w:type="dxa"/>
            <w:tcBorders>
              <w:top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pct10"/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+161 012</w:t>
            </w:r>
          </w:p>
        </w:tc>
      </w:tr>
    </w:tbl>
    <w:p>
      <w:pPr>
        <w:pStyle w:val="Normal"/>
        <w:tabs>
          <w:tab w:val="clear" w:pos="720"/>
          <w:tab w:val="left" w:pos="5387" w:leader="none"/>
          <w:tab w:val="left" w:pos="6804" w:leader="none"/>
        </w:tabs>
        <w:ind w:right="-12" w:firstLine="547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5387" w:leader="none"/>
          <w:tab w:val="left" w:pos="6804" w:leader="none"/>
        </w:tabs>
        <w:ind w:right="-12" w:firstLine="547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5387" w:leader="none"/>
          <w:tab w:val="left" w:pos="6804" w:leader="none"/>
        </w:tabs>
        <w:ind w:left="5392" w:right="-12" w:hanging="0"/>
        <w:jc w:val="both"/>
        <w:rPr>
          <w:rFonts w:ascii="Times New Roman" w:hAnsi="Times New Roman"/>
          <w:b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 xml:space="preserve">              </w:t>
      </w:r>
      <w:r>
        <w:rPr>
          <w:rFonts w:ascii="Times New Roman" w:hAnsi="Times New Roman"/>
          <w:b/>
          <w:bCs/>
          <w:sz w:val="22"/>
          <w:szCs w:val="22"/>
        </w:rPr>
        <w:t>2022               2021</w:t>
      </w:r>
    </w:p>
    <w:p>
      <w:pPr>
        <w:pStyle w:val="Normal"/>
        <w:tabs>
          <w:tab w:val="clear" w:pos="720"/>
          <w:tab w:val="left" w:pos="5387" w:leader="none"/>
          <w:tab w:val="left" w:pos="6804" w:leader="none"/>
        </w:tabs>
        <w:ind w:right="-12" w:firstLine="547"/>
        <w:jc w:val="both"/>
        <w:rPr>
          <w:rFonts w:ascii="Times New Roman" w:hAnsi="Times New Roman"/>
          <w:b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Miera krytia investičného majetku vlastným kapitálom: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Vlastný kapitál           29 550 362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 </w:t>
      </w:r>
      <w:r>
        <w:rPr>
          <w:rFonts w:ascii="Times New Roman" w:hAnsi="Times New Roman"/>
          <w:sz w:val="22"/>
          <w:szCs w:val="22"/>
        </w:rPr>
        <w:t>= ––––––––––– x 100 =                                   386,4 %          244,9 %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Stále aktíva                  7 648 254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Finančná stabilita  (koeficient samofinancovania):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Vlastný kapitál          29 550 362 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  </w:t>
      </w:r>
      <w:r>
        <w:rPr>
          <w:rFonts w:ascii="Times New Roman" w:hAnsi="Times New Roman"/>
          <w:sz w:val="22"/>
          <w:szCs w:val="22"/>
        </w:rPr>
        <w:t>= –––––––––––   x 100 =                                   99,6 %</w:t>
        <w:tab/>
        <w:t xml:space="preserve">           99,7 %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Celkové aktíva          29 659 727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Celková zadlženosť (veriteľské riziko):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Cudzí kapitál               109 365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  </w:t>
      </w:r>
      <w:r>
        <w:rPr>
          <w:rFonts w:ascii="Times New Roman" w:hAnsi="Times New Roman"/>
          <w:sz w:val="22"/>
          <w:szCs w:val="22"/>
        </w:rPr>
        <w:t>= ––––––––––– x 100 =</w:t>
        <w:tab/>
        <w:t xml:space="preserve">               0,4 %</w:t>
        <w:tab/>
        <w:t xml:space="preserve">            0,3 %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Celkové aktíva          29 659 727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Cs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Z toho úverová zadlženosť:</w:t>
      </w:r>
      <w:r>
        <w:rPr>
          <w:rFonts w:ascii="Times New Roman" w:hAnsi="Times New Roman"/>
          <w:bCs/>
          <w:sz w:val="22"/>
          <w:szCs w:val="22"/>
        </w:rPr>
        <w:tab/>
        <w:tab/>
        <w:t xml:space="preserve">                -   %</w:t>
        <w:tab/>
        <w:t xml:space="preserve">             -   %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Okamžitá likvidita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Finančný majetok                    6 745 414                         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––––––––––––––––––––– </w:t>
      </w:r>
      <w:r>
        <w:rPr>
          <w:rFonts w:ascii="Times New Roman" w:hAnsi="Times New Roman"/>
          <w:sz w:val="22"/>
          <w:szCs w:val="22"/>
        </w:rPr>
        <w:t xml:space="preserve">= –––––––––––– =  67,598 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Krátkodobé záv.vč.úverov         99 787                      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Optimálny stav je v rozpätí: 0,2 - 0,5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Bežná likvidita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 xml:space="preserve"> 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Obežný majetok - zásoby           7 024 836                             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–––––––––––––––––––––– </w:t>
      </w:r>
      <w:r>
        <w:rPr>
          <w:rFonts w:ascii="Times New Roman" w:hAnsi="Times New Roman"/>
          <w:sz w:val="22"/>
          <w:szCs w:val="22"/>
        </w:rPr>
        <w:t xml:space="preserve">= ––––––––––– =  70,398 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Krátkodobé záväzky + úvery       99 787                                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Optimálny stav je v rozpätí: 1,0 - 1,5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Celková likvidita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Obežný majetok                      7 024 836                            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––––––––––––––––––––  </w:t>
      </w:r>
      <w:r>
        <w:rPr>
          <w:rFonts w:ascii="Times New Roman" w:hAnsi="Times New Roman"/>
          <w:sz w:val="22"/>
          <w:szCs w:val="22"/>
        </w:rPr>
        <w:t>= –––––––––––  =   70,398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Krátkodobé záv.vč.úverov        99 787                        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Optimálny stav je v rozpätí: 2,0 - 2,5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left="426"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left="426"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ab/>
        <w:tab/>
        <w:t xml:space="preserve">        </w:t>
        <w:tab/>
        <w:t xml:space="preserve">   </w:t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spacing w:lineRule="atLeast" w:line="240"/>
        <w:ind w:right="-11" w:firstLine="426"/>
        <w:jc w:val="both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clear" w:pos="720"/>
          <w:tab w:val="left" w:pos="2552" w:leader="none"/>
          <w:tab w:val="left" w:pos="4253" w:leader="none"/>
          <w:tab w:val="left" w:pos="5387" w:leader="none"/>
          <w:tab w:val="left" w:pos="6804" w:leader="none"/>
        </w:tabs>
        <w:spacing w:lineRule="atLeast" w:line="240"/>
        <w:ind w:right="-11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  <w:u w:val="single"/>
        </w:rPr>
        <w:t>Pracovný kapitál:</w:t>
      </w:r>
      <w:r>
        <w:rPr>
          <w:rFonts w:ascii="Times New Roman" w:hAnsi="Times New Roman"/>
          <w:b/>
          <w:sz w:val="22"/>
          <w:szCs w:val="22"/>
        </w:rPr>
        <w:t xml:space="preserve"> </w:t>
      </w:r>
      <w:r>
        <w:rPr>
          <w:rFonts w:ascii="Times New Roman" w:hAnsi="Times New Roman"/>
          <w:sz w:val="22"/>
          <w:szCs w:val="22"/>
        </w:rPr>
        <w:t>(obežný majetok - krátkodobé záväzky)</w:t>
      </w:r>
      <w:r>
        <w:rPr>
          <w:rFonts w:ascii="Times New Roman" w:hAnsi="Times New Roman"/>
          <w:b/>
          <w:sz w:val="22"/>
          <w:szCs w:val="22"/>
        </w:rPr>
        <w:t xml:space="preserve"> </w:t>
      </w:r>
    </w:p>
    <w:p>
      <w:pPr>
        <w:pStyle w:val="Normal"/>
        <w:tabs>
          <w:tab w:val="clear" w:pos="720"/>
          <w:tab w:val="left" w:pos="2977" w:leader="none"/>
          <w:tab w:val="left" w:pos="4253" w:leader="none"/>
          <w:tab w:val="left" w:pos="5387" w:leader="none"/>
          <w:tab w:val="left" w:pos="6804" w:leader="none"/>
        </w:tabs>
        <w:spacing w:lineRule="atLeast" w:line="240"/>
        <w:ind w:right="-11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7 024 836 – 99 787 = 6 925 049 €   </w:t>
      </w:r>
    </w:p>
    <w:p>
      <w:pPr>
        <w:pStyle w:val="Normal"/>
        <w:tabs>
          <w:tab w:val="clear" w:pos="720"/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993" w:leader="none"/>
          <w:tab w:val="left" w:pos="1418" w:leader="none"/>
          <w:tab w:val="left" w:pos="2977" w:leader="none"/>
          <w:tab w:val="left" w:pos="7938" w:leader="none"/>
        </w:tabs>
        <w:ind w:left="993" w:right="152" w:hanging="284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993" w:leader="none"/>
          <w:tab w:val="left" w:pos="1418" w:leader="none"/>
          <w:tab w:val="left" w:pos="2977" w:leader="none"/>
          <w:tab w:val="left" w:pos="7938" w:leader="none"/>
        </w:tabs>
        <w:ind w:left="993" w:right="152" w:hanging="284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b) Informácie o udalostiach osobitného významu, ktoré nastali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</w:t>
      </w:r>
      <w:r>
        <w:rPr>
          <w:rFonts w:ascii="Times New Roman" w:hAnsi="Times New Roman"/>
          <w:b/>
          <w:sz w:val="22"/>
          <w:szCs w:val="22"/>
        </w:rPr>
        <w:t>po skončení účtovného obdobia, za ktoré sa vyhotovuje výročná správa.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 xml:space="preserve">Po skončení účtovného obdobia nenastali skutočnosti osobitného významu, ktoré by bolo  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potrebné uviesť vo výročnej správe.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c) Informácie o predpokladanom budúcom vývoji činnosti účtovnej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</w:t>
      </w:r>
      <w:r>
        <w:rPr>
          <w:rFonts w:ascii="Times New Roman" w:hAnsi="Times New Roman"/>
          <w:b/>
          <w:sz w:val="22"/>
          <w:szCs w:val="22"/>
        </w:rPr>
        <w:t>jednotky.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Účtovná jednotka bude pokračovať vo svojej činnosti v rozsahu roku 2021.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d) Informácia o nákladoch na činnosť v oblasti výskumu a vývoja.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i/>
          <w:i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Spoločnosť nečerpala žiadne náklady na vedu a výskum.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2"/>
          <w:szCs w:val="22"/>
        </w:rPr>
      </w:pPr>
      <w:r>
        <w:rPr>
          <w:rFonts w:ascii="Times New Roman" w:hAnsi="Times New Roman"/>
          <w:i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e) Informácia o nadobúdaní vlastných obchodných podielov.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i/>
          <w:i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</w:t>
      </w:r>
      <w:r>
        <w:rPr>
          <w:rFonts w:ascii="Times New Roman" w:hAnsi="Times New Roman"/>
          <w:sz w:val="22"/>
          <w:szCs w:val="22"/>
        </w:rPr>
        <w:t xml:space="preserve">Spoločnosť nenadobudla žiadne vlastné obchodné podiely.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f) Návrh na schválenie účtovnej závierky za rok 2022 a na rozdelenie zisku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</w:t>
      </w:r>
      <w:r>
        <w:rPr>
          <w:rFonts w:ascii="Times New Roman" w:hAnsi="Times New Roman"/>
          <w:b/>
          <w:sz w:val="22"/>
          <w:szCs w:val="22"/>
        </w:rPr>
        <w:t>alebo vyrovnanie straty.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ind w:left="284" w:right="424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Konateľ FELIX Mi, s.r.o., v zmysle spoločenskej zmluvy, po preskúmaní ročnej účtovnej závierky a výročnej správy za rok 2022 a správy audítora, predkladá  valnému zhromaždeniu na  schválenie návrh:</w:t>
      </w:r>
    </w:p>
    <w:p>
      <w:pPr>
        <w:pStyle w:val="Normal"/>
        <w:ind w:left="284" w:right="424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ind w:left="284" w:right="424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ind w:left="284" w:right="424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1. Schváliť účtovnú závierku a výročnú správu za rok 2022.</w:t>
      </w:r>
    </w:p>
    <w:p>
      <w:pPr>
        <w:pStyle w:val="Normal"/>
        <w:ind w:left="284" w:right="424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ind w:left="284" w:right="424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2. Hospodársky výsledok zisk + 1 017 228,87 € zúčtovať nasledovne: </w:t>
      </w:r>
    </w:p>
    <w:p>
      <w:pPr>
        <w:pStyle w:val="Normal"/>
        <w:ind w:left="284" w:right="424" w:firstLine="283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ind w:left="284" w:right="424" w:firstLine="283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</w:t>
      </w:r>
      <w:r>
        <w:rPr>
          <w:rFonts w:ascii="Times New Roman" w:hAnsi="Times New Roman"/>
          <w:sz w:val="22"/>
          <w:szCs w:val="22"/>
        </w:rPr>
        <w:t xml:space="preserve">1 017 228,87 €, v prospech nerozdeleného zisku minulých rokov   </w:t>
      </w:r>
    </w:p>
    <w:p>
      <w:pPr>
        <w:pStyle w:val="Normal"/>
        <w:tabs>
          <w:tab w:val="clear" w:pos="720"/>
          <w:tab w:val="left" w:pos="1134" w:leader="none"/>
        </w:tabs>
        <w:ind w:left="-284" w:right="424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 xml:space="preserve">    </w:t>
      </w:r>
    </w:p>
    <w:p>
      <w:pPr>
        <w:pStyle w:val="Normal"/>
        <w:tabs>
          <w:tab w:val="clear" w:pos="720"/>
          <w:tab w:val="left" w:pos="1134" w:leader="none"/>
        </w:tabs>
        <w:ind w:left="-284" w:right="424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 xml:space="preserve">                  </w:t>
      </w:r>
    </w:p>
    <w:p>
      <w:pPr>
        <w:pStyle w:val="Normal"/>
        <w:ind w:left="-284" w:right="424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ab/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g) Informácie o údajoch požadovaných podľa osobitných predpisov.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i/>
          <w:i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 xml:space="preserve">Pre spoločnosť bezpredmetné.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h) Informácie o tom, či účtovná jednotka má organizačnú zložku v zahraničí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             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             </w:t>
      </w:r>
      <w:r>
        <w:rPr>
          <w:rFonts w:ascii="Times New Roman" w:hAnsi="Times New Roman"/>
          <w:sz w:val="22"/>
          <w:szCs w:val="22"/>
        </w:rPr>
        <w:t xml:space="preserve">Účtovná jednotka nemá organizačnú zložku v zahraničí.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right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5103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ab/>
        <w:tab/>
        <w:tab/>
        <w:t>Paolo Felisa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                                                                  </w:t>
      </w:r>
      <w:r>
        <w:rPr>
          <w:rFonts w:ascii="Times New Roman" w:hAnsi="Times New Roman"/>
          <w:sz w:val="22"/>
          <w:szCs w:val="22"/>
        </w:rPr>
        <w:t>konateľ spoločnosti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2"/>
          <w:szCs w:val="22"/>
        </w:rPr>
      </w:pPr>
      <w:r>
        <w:rPr>
          <w:rFonts w:ascii="Times New Roman" w:hAnsi="Times New Roman"/>
          <w:i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right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firstLine="567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 xml:space="preserve">   </w:t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firstLine="567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VÝKAZ  ZISKOV  A STRÁT  01.01.2022 - 31.12.2022, 2021, 2020</w:t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firstLine="567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___________________________________________________________________</w:t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jc w:val="center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jc w:val="center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tbl>
      <w:tblPr>
        <w:tblW w:w="7823" w:type="dxa"/>
        <w:jc w:val="left"/>
        <w:tblInd w:w="562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firstRow="0" w:noVBand="0" w:lastRow="0" w:firstColumn="0" w:lastColumn="0" w:noHBand="0" w:val="0000"/>
      </w:tblPr>
      <w:tblGrid>
        <w:gridCol w:w="4125"/>
        <w:gridCol w:w="1261"/>
        <w:gridCol w:w="1218"/>
        <w:gridCol w:w="1218"/>
      </w:tblGrid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</w:rPr>
              <w:t>v eurách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left="-155"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31.12.2022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00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31.12.2021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06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31.12.2020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Výnosy z hosp. činn. spolu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343 523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380 322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398 294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Tržby z predaja tovaru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Tržby z predaja vlastných výrobkov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157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Cs/>
                <w:color w:val="000000"/>
              </w:rPr>
              <w:t>Tržby z predaja služieb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343 518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329 948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352 122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196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Tržby z predaja dlh.majetku a  mat.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Ostatné výnosy z hosp. činnosti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50 374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46 172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157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  <w:p>
            <w:pPr>
              <w:pStyle w:val="Normal"/>
              <w:widowControl w:val="false"/>
              <w:ind w:right="-157" w:hanging="0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Náklady na hosp. činnosť spolu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317 844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337 311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315 369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Náklady na obst. tovaru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Cs/>
                <w:color w:val="000000"/>
              </w:rPr>
              <w:t>Spotreba materiálu a energie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3 576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2 908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3 847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Cs/>
                <w:color w:val="000000"/>
              </w:rPr>
              <w:t>Služby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10 927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10 450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10 307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Osobné náklady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286 251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306 991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284 041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Mzdové náklady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198 433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207 727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203 773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Náklady na sociálne poistenie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68 815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89 908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71 190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Sociálne náklady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19 003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9 356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9 078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Dane a poplatky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11 666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11 624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11 828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Odpisy dlhodobého majetku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5 172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5 172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5 172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244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Zost.cena pred.dlh.majetku a mat.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Opravné položky k pohľadávkam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Ostatné prevádzkové náklady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252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166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174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248" w:hanging="0"/>
              <w:rPr>
                <w:rFonts w:ascii="Arial" w:hAnsi="Arial" w:cs="Arial"/>
                <w:color w:val="0000FF"/>
              </w:rPr>
            </w:pPr>
            <w:r>
              <w:rPr>
                <w:rFonts w:cs="Arial" w:ascii="Arial" w:hAnsi="Arial"/>
                <w:b/>
                <w:bCs/>
                <w:color w:val="0000FF"/>
              </w:rPr>
              <w:t>Výsledok hosp.z hosp.činnosti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color w:val="0000FF"/>
              </w:rPr>
              <w:t>25 679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color w:val="0000FF"/>
              </w:rPr>
              <w:t>43 011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color w:val="0000FF"/>
              </w:rPr>
              <w:t>82 925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bCs/>
                <w:color w:val="993300"/>
              </w:rPr>
              <w:t>Pridaná hodnota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329 015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316 590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337 968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Výnosy z finanč. činn. spolu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1 000 000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1 000 000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1 340 524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Tržby z predaja podielov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340 301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Výnosy z dlhod. finanč. majetku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1 000 000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1 000 000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1 000 000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Výnosové úroky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223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Ostatné výnosy z finanč. činnosti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Náklady na fin. činn. spolu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5 422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3 129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Nákladové úroky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Kurzové straty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248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Ostatné náklady z finanč.činnosti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5 422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3 199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3 129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248" w:hanging="0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bCs/>
                <w:color w:val="0000FF"/>
              </w:rPr>
              <w:t>Výsledok hosp.z finanč.činnosti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color w:val="0000FF"/>
              </w:rPr>
              <w:t>994 578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color w:val="0000FF"/>
              </w:rPr>
              <w:t>996 801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color w:val="0000FF"/>
              </w:rPr>
              <w:t>1 337 395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3544" w:leader="none"/>
              </w:tabs>
              <w:ind w:right="-518" w:hanging="0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Výsled. hosp. pred zdanením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1 020 257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1 039 812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1 420 320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3544" w:leader="none"/>
              </w:tabs>
              <w:ind w:right="-518" w:hanging="0"/>
              <w:rPr>
                <w:rFonts w:ascii="Arial" w:hAnsi="Arial" w:cs="Arial"/>
                <w:b/>
                <w:b/>
                <w:color w:val="FF6600"/>
              </w:rPr>
            </w:pPr>
            <w:r>
              <w:rPr>
                <w:rFonts w:cs="Arial" w:ascii="Arial" w:hAnsi="Arial"/>
                <w:b/>
                <w:color w:val="FF6600"/>
              </w:rPr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FF6600"/>
              </w:rPr>
            </w:pPr>
            <w:r>
              <w:rPr>
                <w:rFonts w:cs="Arial" w:ascii="Arial" w:hAnsi="Arial"/>
                <w:b/>
                <w:color w:val="FF6600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FF6600"/>
              </w:rPr>
            </w:pPr>
            <w:r>
              <w:rPr>
                <w:rFonts w:cs="Arial" w:ascii="Arial" w:hAnsi="Arial"/>
                <w:b/>
                <w:color w:val="FF6600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FF6600"/>
              </w:rPr>
            </w:pPr>
            <w:r>
              <w:rPr>
                <w:rFonts w:cs="Arial" w:ascii="Arial" w:hAnsi="Arial"/>
                <w:b/>
                <w:color w:val="FF6600"/>
              </w:rPr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91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Daň z príjmov – splatná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3 043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7 110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14 756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4111" w:leader="none"/>
              </w:tabs>
              <w:ind w:right="-105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 xml:space="preserve">                        </w:t>
            </w:r>
            <w:r>
              <w:rPr>
                <w:rFonts w:cs="Arial" w:ascii="Arial" w:hAnsi="Arial"/>
                <w:color w:val="000000"/>
              </w:rPr>
              <w:t>-odložená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-15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7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- 17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491" w:hanging="0"/>
              <w:rPr>
                <w:rFonts w:ascii="Arial" w:hAnsi="Arial" w:cs="Arial"/>
                <w:b/>
                <w:b/>
                <w:bCs/>
                <w:color w:val="FF0000"/>
              </w:rPr>
            </w:pPr>
            <w:r>
              <w:rPr>
                <w:rFonts w:cs="Arial" w:ascii="Arial" w:hAnsi="Arial"/>
                <w:b/>
                <w:bCs/>
                <w:color w:val="FF0000"/>
              </w:rPr>
            </w:r>
          </w:p>
          <w:p>
            <w:pPr>
              <w:pStyle w:val="Normal"/>
              <w:widowControl w:val="false"/>
              <w:ind w:right="-491" w:hanging="0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bCs/>
                <w:color w:val="FF0000"/>
              </w:rPr>
              <w:t>Výsledok hosp.za účt. obdobie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1 017 229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1 032 695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20"/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1 405 581</w:t>
            </w:r>
          </w:p>
        </w:tc>
      </w:tr>
    </w:tbl>
    <w:p>
      <w:pPr>
        <w:pStyle w:val="Normal"/>
        <w:tabs>
          <w:tab w:val="clear" w:pos="720"/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 xml:space="preserve">  </w:t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BILANCIA K 31.12.2022, 2021, 2020</w:t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__________________________________________</w:t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jc w:val="right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jc w:val="right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jc w:val="right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tbl>
      <w:tblPr>
        <w:tblW w:w="8068" w:type="dxa"/>
        <w:jc w:val="left"/>
        <w:tblInd w:w="562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firstRow="0" w:noVBand="0" w:lastRow="0" w:firstColumn="0" w:lastColumn="0" w:noHBand="0" w:val="0000"/>
      </w:tblPr>
      <w:tblGrid>
        <w:gridCol w:w="4135"/>
        <w:gridCol w:w="1394"/>
        <w:gridCol w:w="1276"/>
        <w:gridCol w:w="1262"/>
      </w:tblGrid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31.12.2022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31.12.2021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31.12.2020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  <w:u w:val="single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Majetok (v eurách)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24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69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1062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8000"/>
              </w:rPr>
            </w:pPr>
            <w:r>
              <w:rPr>
                <w:rFonts w:cs="Arial" w:ascii="Arial" w:hAnsi="Arial"/>
                <w:b/>
                <w:bCs/>
                <w:color w:val="008000"/>
              </w:rPr>
              <w:t>Neobežný majetok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7 648 254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8 525 308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10 261 842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Dlhodobý nehmotný majetok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Dlhodobý hmotný majetok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251 081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256 253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261 424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Pozemky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92 826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92 826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92 826</w:t>
            </w:r>
          </w:p>
        </w:tc>
      </w:tr>
      <w:tr>
        <w:trPr>
          <w:trHeight w:val="6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Stavby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158 255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163 427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168 598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Samostatné hnuteľné veci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Obstarávaný dlhod. hm.majetok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Dlhodobý finančný majetok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7 397 173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8 269 055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10 000 418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 Podiely v prepojených účt. jednotkách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7 397 173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8 269 055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10 000 418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69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8000"/>
              </w:rPr>
            </w:pPr>
            <w:r>
              <w:rPr>
                <w:rFonts w:cs="Arial" w:ascii="Arial" w:hAnsi="Arial"/>
                <w:b/>
                <w:bCs/>
                <w:color w:val="008000"/>
              </w:rPr>
              <w:t>Obežný majetok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22 011 354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20 973 288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19 958 504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Zásoby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Dlhodobé pohľadávky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14 987 483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-2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13 987 468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13 987 475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Za prepojenými účt. jednotkami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14 986 519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13 986 519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13 986 519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 Odložená daňová pohľadávka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964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949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956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Krátkodobé pohľadávky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278 457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224 318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289 885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Pohľadávky z obchodného styku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272 490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215 580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275 845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Pohľadávky voči spoločníkom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Daňové pohľadávky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5 967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8 738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14 040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Iné pohľadávky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Finančné účty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6 745 414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6 761 502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5 681 144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Peniaze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10 122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10 122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9 876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Účty v bankách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6 735 292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6 751 380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5 671 268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8000"/>
              </w:rPr>
            </w:pPr>
            <w:r>
              <w:rPr>
                <w:rFonts w:cs="Arial" w:ascii="Arial" w:hAnsi="Arial"/>
                <w:b/>
                <w:bCs/>
                <w:color w:val="008000"/>
              </w:rPr>
              <w:t xml:space="preserve">Časové rozlíšenie 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119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119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119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Náklady budúcich období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119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119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119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 Príjmy budúcich období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bCs/>
                <w:color w:val="FF0000"/>
              </w:rPr>
              <w:t>MAJETOK CELKOM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18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29 659 727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29 498 715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5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30 220 465</w:t>
            </w:r>
          </w:p>
        </w:tc>
      </w:tr>
    </w:tbl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firstLine="567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firstLine="567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4678" w:leader="none"/>
          <w:tab w:val="left" w:pos="6379" w:leader="none"/>
          <w:tab w:val="left" w:pos="7655" w:leader="none"/>
        </w:tabs>
        <w:ind w:right="283" w:firstLine="567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BILANCIA K 31.12.2022, 2021, 2020</w:t>
      </w:r>
    </w:p>
    <w:p>
      <w:pPr>
        <w:pStyle w:val="Normal"/>
        <w:tabs>
          <w:tab w:val="clear" w:pos="720"/>
          <w:tab w:val="left" w:pos="709" w:leader="none"/>
          <w:tab w:val="left" w:pos="4678" w:leader="none"/>
          <w:tab w:val="left" w:pos="6379" w:leader="none"/>
          <w:tab w:val="left" w:pos="7655" w:leader="none"/>
          <w:tab w:val="left" w:pos="7797" w:leader="none"/>
        </w:tabs>
        <w:ind w:right="283" w:firstLine="567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__________________________________________</w:t>
      </w:r>
    </w:p>
    <w:p>
      <w:pPr>
        <w:pStyle w:val="Normal"/>
        <w:tabs>
          <w:tab w:val="clear" w:pos="720"/>
          <w:tab w:val="left" w:pos="709" w:leader="none"/>
          <w:tab w:val="left" w:pos="4678" w:leader="none"/>
          <w:tab w:val="left" w:pos="6379" w:leader="none"/>
          <w:tab w:val="left" w:pos="7655" w:leader="none"/>
        </w:tabs>
        <w:ind w:left="426" w:hanging="0"/>
        <w:jc w:val="right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4678" w:leader="none"/>
          <w:tab w:val="left" w:pos="6379" w:leader="none"/>
          <w:tab w:val="left" w:pos="7655" w:leader="none"/>
        </w:tabs>
        <w:ind w:left="426" w:hanging="0"/>
        <w:jc w:val="right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4678" w:leader="none"/>
          <w:tab w:val="left" w:pos="6379" w:leader="none"/>
          <w:tab w:val="left" w:pos="7655" w:leader="none"/>
        </w:tabs>
        <w:ind w:left="426" w:hanging="0"/>
        <w:jc w:val="right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tbl>
      <w:tblPr>
        <w:tblW w:w="7680" w:type="dxa"/>
        <w:jc w:val="left"/>
        <w:tblInd w:w="562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firstRow="0" w:noVBand="0" w:lastRow="0" w:firstColumn="0" w:lastColumn="0" w:noHBand="0" w:val="0000"/>
      </w:tblPr>
      <w:tblGrid>
        <w:gridCol w:w="4058"/>
        <w:gridCol w:w="1218"/>
        <w:gridCol w:w="1173"/>
        <w:gridCol w:w="1230"/>
      </w:tblGrid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31.12.2022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26" w:hanging="0"/>
              <w:jc w:val="center"/>
              <w:rPr>
                <w:rFonts w:ascii="Arial" w:hAnsi="Arial" w:cs="Arial"/>
                <w:b/>
                <w:b/>
                <w:color w:val="000000"/>
                <w:u w:val="single"/>
              </w:rPr>
            </w:pPr>
            <w:r>
              <w:rPr>
                <w:rFonts w:cs="Arial" w:ascii="Arial" w:hAnsi="Arial"/>
                <w:b/>
                <w:color w:val="000000"/>
                <w:u w:val="single"/>
              </w:rPr>
              <w:t>31 12.2021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2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31.12.2020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b/>
                <w:b/>
                <w:bCs/>
                <w:color w:val="000000"/>
                <w:u w:val="single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 xml:space="preserve">Vlastné imanie a záväzky </w:t>
            </w:r>
          </w:p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(v eurách)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2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-71" w:right="127" w:firstLine="71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248" w:hanging="531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2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12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8000"/>
              </w:rPr>
            </w:pPr>
            <w:r>
              <w:rPr>
                <w:rFonts w:cs="Arial" w:ascii="Arial" w:hAnsi="Arial"/>
                <w:b/>
                <w:bCs/>
                <w:color w:val="008000"/>
              </w:rPr>
              <w:t>Vlastné imanie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29 550 362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-54" w:right="87" w:hanging="0"/>
              <w:jc w:val="center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 xml:space="preserve"> </w:t>
            </w:r>
            <w:r>
              <w:rPr>
                <w:rFonts w:cs="Arial" w:ascii="Arial" w:hAnsi="Arial"/>
                <w:b/>
                <w:color w:val="008000"/>
              </w:rPr>
              <w:t>29 405 015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30 102 864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Základné imanie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6 640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6 640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6 640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Fondy zo zisku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664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664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664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Oceňovacie rozdiely z prec. majetku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6 227 600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7 099 482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8 830 845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Výsledok hosp.min.rokov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22 298 229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21 265 534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19 859 954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Výsledok hosp.za účtovné obdobie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1 017 229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1 032 695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1 405 581</w:t>
            </w:r>
          </w:p>
        </w:tc>
      </w:tr>
      <w:tr>
        <w:trPr>
          <w:trHeight w:val="566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8000"/>
              </w:rPr>
              <w:t>Záväzky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109 365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93 700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116 781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Dlhodobé záväzky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9 578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9 947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9 841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 xml:space="preserve">- Ost. záv. voči prepojeným úč. jednotkám 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Ostatné dlhodobé záväzky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Záväzky zo soc.fondu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9 578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9 947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9 841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Odložený daňový záväzok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Dlhodobé bankové úvery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Krátkodobé záväzky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84 153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77 274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100 792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Záväzky z obchodného styku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2 444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2 143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2 984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Záväzky voči spoločníkom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50 296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50 296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50 035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Záväzky voči zamestnancom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9 384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9 491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12 554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Záväzky zo soc.zabezpečenia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11 459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12 252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14 332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Štát-daňové záväzky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10 560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3 087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20 887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Iné záväzky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10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5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Cs/>
                <w:color w:val="000000"/>
              </w:rPr>
              <w:t>Krátkodobé rezervy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15 634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6 479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6 148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 xml:space="preserve">Bežné bankové úvery 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Krátkodobé finančné výpomoci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Časové rozlíšenie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 xml:space="preserve">- Výnosy budúcich období dohodové 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Výnosy budúcich období krátkod.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FF0000"/>
              </w:rPr>
            </w:pPr>
            <w:r>
              <w:rPr>
                <w:rFonts w:cs="Arial" w:ascii="Arial" w:hAnsi="Arial"/>
                <w:b/>
                <w:bCs/>
                <w:color w:val="FF0000"/>
              </w:rPr>
              <w:t>VL.IMANIE A ZÁV. CELKOM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29 659 727</w:t>
            </w: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29 498 715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right="87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30 220 465</w:t>
            </w:r>
          </w:p>
        </w:tc>
      </w:tr>
    </w:tbl>
    <w:p>
      <w:pPr>
        <w:pStyle w:val="Normal"/>
        <w:tabs>
          <w:tab w:val="clear" w:pos="720"/>
          <w:tab w:val="left" w:pos="709" w:leader="none"/>
          <w:tab w:val="left" w:pos="4678" w:leader="none"/>
          <w:tab w:val="left" w:pos="6379" w:leader="none"/>
          <w:tab w:val="left" w:pos="7655" w:leader="none"/>
        </w:tabs>
        <w:ind w:left="426" w:hanging="0"/>
        <w:jc w:val="right"/>
        <w:rPr/>
      </w:pPr>
      <w:r>
        <w:rPr/>
      </w:r>
    </w:p>
    <w:p>
      <w:pPr>
        <w:pStyle w:val="PlainText"/>
        <w:tabs>
          <w:tab w:val="clear" w:pos="720"/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4"/>
          <w:szCs w:val="24"/>
          <w:lang w:val="sk-SK"/>
        </w:rPr>
      </w:pPr>
      <w:r>
        <w:rPr>
          <w:rFonts w:eastAsia="MS Mincho" w:cs="Times New Roman" w:ascii="Times New Roman" w:hAnsi="Times New Roman"/>
          <w:b/>
          <w:bCs/>
          <w:sz w:val="24"/>
          <w:szCs w:val="24"/>
          <w:lang w:val="sk-SK"/>
        </w:rPr>
      </w:r>
    </w:p>
    <w:p>
      <w:pPr>
        <w:pStyle w:val="PlainText"/>
        <w:tabs>
          <w:tab w:val="clear" w:pos="720"/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PlainText"/>
        <w:tabs>
          <w:tab w:val="clear" w:pos="720"/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PlainText"/>
        <w:tabs>
          <w:tab w:val="clear" w:pos="720"/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PlainText"/>
        <w:tabs>
          <w:tab w:val="clear" w:pos="720"/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PlainText"/>
        <w:tabs>
          <w:tab w:val="clear" w:pos="720"/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PlainText"/>
        <w:tabs>
          <w:tab w:val="clear" w:pos="720"/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firstLine="567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firstLine="567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PlainText"/>
        <w:tabs>
          <w:tab w:val="clear" w:pos="720"/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PlainText"/>
        <w:tabs>
          <w:tab w:val="clear" w:pos="720"/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clear" w:pos="720"/>
          <w:tab w:val="left" w:pos="709" w:leader="none"/>
          <w:tab w:val="left" w:pos="2977" w:leader="none"/>
        </w:tabs>
        <w:ind w:right="283" w:hanging="0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/>
      </w:r>
    </w:p>
    <w:sectPr>
      <w:headerReference w:type="default" r:id="rId6"/>
      <w:footerReference w:type="default" r:id="rId7"/>
      <w:type w:val="nextPage"/>
      <w:pgSz w:w="11906" w:h="16838"/>
      <w:pgMar w:left="1418" w:right="1134" w:header="709" w:top="1134" w:footer="709" w:bottom="1418" w:gutter="0"/>
      <w:pgNumType w:fmt="decimal"/>
      <w:formProt w:val="false"/>
      <w:titlePg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ms Rmn">
    <w:altName w:val="Times New Roman"/>
    <w:charset w:val="ee"/>
    <w:family w:val="roman"/>
    <w:pitch w:val="variable"/>
  </w:font>
  <w:font w:name="MS Serif">
    <w:charset w:val="ee"/>
    <w:family w:val="roman"/>
    <w:pitch w:val="variable"/>
  </w:font>
  <w:font w:name="Helv">
    <w:altName w:val="Arial"/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Courier Ne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rPr>
        <w:sz w:val="24"/>
      </w:rPr>
    </w:pPr>
    <w:r>
      <w:rPr>
        <w:sz w:val="24"/>
      </w:rPr>
    </w:r>
    <w:r>
      <mc:AlternateContent>
        <mc:Choice Requires="wps">
          <w:drawing>
            <wp:anchor behindDoc="0" distT="0" distB="0" distL="0" distR="0" simplePos="0" locked="0" layoutInCell="0" allowOverlap="1" relativeHeight="12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5761355" cy="293370"/>
              <wp:effectExtent l="0" t="0" r="0" b="0"/>
              <wp:wrapSquare wrapText="bothSides"/>
              <wp:docPr id="5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61355" cy="29337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Pta"/>
                            <w:pBdr/>
                            <w:rPr>
                              <w:rStyle w:val="Pagenumber"/>
                              <w:sz w:val="24"/>
                            </w:rPr>
                          </w:pPr>
                          <w:r>
                            <w:rPr/>
                            <w:tab/>
                            <w:t xml:space="preserve">-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12</w:t>
                          </w:r>
                          <w:r>
                            <w:rPr/>
                            <w:fldChar w:fldCharType="end"/>
                          </w:r>
                          <w:r>
                            <w:rPr/>
                            <w:t xml:space="preserve"> -</w:t>
                            <w:tab/>
                            <w:t xml:space="preserve"> </w:t>
                          </w:r>
                        </w:p>
                        <w:p>
                          <w:pPr>
                            <w:pStyle w:val="Pta"/>
                            <w:pBdr/>
                            <w:rPr>
                              <w:rStyle w:val="Pagenumber"/>
                            </w:rPr>
                          </w:pPr>
                          <w:r>
                            <w:rPr/>
                          </w:r>
                        </w:p>
                      </w:txbxContent>
                    </wps:txbx>
                    <wps:bodyPr anchor="t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53.65pt;height:23.1pt;mso-wrap-distance-left:0pt;mso-wrap-distance-right:0pt;mso-wrap-distance-top:0pt;mso-wrap-distance-bottom:0pt;margin-top:0.05pt;mso-position-vertical-relative:text;margin-left:7.05pt;mso-position-horizontal:center;mso-position-horizontal-relative:margin">
              <v:fill opacity="0f"/>
              <v:textbox inset="0in,0in,0in,0in">
                <w:txbxContent>
                  <w:p>
                    <w:pPr>
                      <w:pStyle w:val="Pta"/>
                      <w:pBdr/>
                      <w:rPr>
                        <w:rStyle w:val="Pagenumber"/>
                        <w:sz w:val="24"/>
                      </w:rPr>
                    </w:pPr>
                    <w:r>
                      <w:rPr/>
                      <w:tab/>
                      <w:t xml:space="preserve">-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12</w:t>
                    </w:r>
                    <w:r>
                      <w:rPr/>
                      <w:fldChar w:fldCharType="end"/>
                    </w:r>
                    <w:r>
                      <w:rPr/>
                      <w:t xml:space="preserve"> -</w:t>
                      <w:tab/>
                      <w:t xml:space="preserve"> </w:t>
                    </w:r>
                  </w:p>
                  <w:p>
                    <w:pPr>
                      <w:pStyle w:val="Pta"/>
                      <w:pBdr/>
                      <w:rPr>
                        <w:rStyle w:val="Pagenumber"/>
                      </w:rPr>
                    </w:pPr>
                    <w:r>
                      <w:rPr/>
                    </w:r>
                  </w:p>
                </w:txbxContent>
              </v:textbox>
              <w10:wrap type="squar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ie"/>
      <w:jc w:val="center"/>
      <w:rPr>
        <w:rFonts w:ascii="Times New Roman" w:hAnsi="Times New Roman"/>
        <w:sz w:val="24"/>
        <w:szCs w:val="24"/>
      </w:rPr>
    </w:pPr>
    <w:r>
      <w:rPr>
        <w:rFonts w:ascii="Times New Roman" w:hAnsi="Times New Roman"/>
        <w:sz w:val="24"/>
        <w:szCs w:val="24"/>
      </w:rPr>
    </w:r>
  </w:p>
</w:hdr>
</file>

<file path=word/settings.xml><?xml version="1.0" encoding="utf-8"?>
<w:settings xmlns:w="http://schemas.openxmlformats.org/wordprocessingml/2006/main">
  <w:zoom w:percent="113"/>
  <w:defaultTabStop w:val="720"/>
  <w:autoHyphenation w:val="true"/>
  <w:doNotHyphenateCaps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en-US" w:eastAsia="zh-CN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ms Rmn" w:hAnsi="Tms Rmn" w:eastAsia="Times New Roman" w:cs="Times New Roman"/>
        <w:lang w:val="en-US" w:eastAsia="zh-CN" w:bidi="ar-SA"/>
      </w:rPr>
    </w:rPrDefault>
    <w:pPrDefault>
      <w:pPr>
        <w:suppressAutoHyphens w:val="true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  <w:lsdException w:name="Smart Link" w:uiPriority="99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MS Serif" w:hAnsi="MS Serif" w:eastAsia="Times New Roman" w:cs="Times New Roman"/>
      <w:color w:val="auto"/>
      <w:kern w:val="0"/>
      <w:sz w:val="20"/>
      <w:szCs w:val="20"/>
      <w:lang w:val="sk-SK" w:eastAsia="cs-CZ" w:bidi="ar-SA"/>
    </w:rPr>
  </w:style>
  <w:style w:type="paragraph" w:styleId="Nadpis1">
    <w:name w:val="Heading 1"/>
    <w:basedOn w:val="Normal"/>
    <w:next w:val="Normal"/>
    <w:qFormat/>
    <w:pPr>
      <w:spacing w:before="240" w:after="0"/>
      <w:outlineLvl w:val="0"/>
    </w:pPr>
    <w:rPr>
      <w:rFonts w:ascii="Helv" w:hAnsi="Helv"/>
      <w:b/>
      <w:bCs/>
      <w:sz w:val="24"/>
      <w:szCs w:val="24"/>
      <w:u w:val="single"/>
    </w:rPr>
  </w:style>
  <w:style w:type="paragraph" w:styleId="Nadpis2">
    <w:name w:val="Heading 2"/>
    <w:basedOn w:val="Normal"/>
    <w:next w:val="Normal"/>
    <w:qFormat/>
    <w:pPr>
      <w:spacing w:before="120" w:after="0"/>
      <w:outlineLvl w:val="1"/>
    </w:pPr>
    <w:rPr>
      <w:rFonts w:ascii="Helv" w:hAnsi="Helv"/>
      <w:b/>
      <w:bCs/>
      <w:sz w:val="24"/>
      <w:szCs w:val="24"/>
    </w:rPr>
  </w:style>
  <w:style w:type="paragraph" w:styleId="Nadpis3">
    <w:name w:val="Heading 3"/>
    <w:basedOn w:val="Normal"/>
    <w:next w:val="NormalIndent"/>
    <w:qFormat/>
    <w:pPr>
      <w:ind w:left="354" w:hanging="0"/>
      <w:outlineLvl w:val="2"/>
    </w:pPr>
    <w:rPr>
      <w:rFonts w:ascii="Tms Rmn" w:hAnsi="Tms Rmn"/>
      <w:b/>
      <w:bCs/>
      <w:sz w:val="24"/>
      <w:szCs w:val="24"/>
    </w:rPr>
  </w:style>
  <w:style w:type="paragraph" w:styleId="Nadpis4">
    <w:name w:val="Heading 4"/>
    <w:basedOn w:val="Normal"/>
    <w:next w:val="NormalIndent"/>
    <w:qFormat/>
    <w:pPr>
      <w:ind w:left="354" w:hanging="0"/>
      <w:outlineLvl w:val="3"/>
    </w:pPr>
    <w:rPr>
      <w:rFonts w:ascii="Tms Rmn" w:hAnsi="Tms Rmn"/>
      <w:sz w:val="24"/>
      <w:szCs w:val="24"/>
      <w:u w:val="single"/>
    </w:rPr>
  </w:style>
  <w:style w:type="paragraph" w:styleId="Nadpis5">
    <w:name w:val="Heading 5"/>
    <w:basedOn w:val="Normal"/>
    <w:next w:val="NormalIndent"/>
    <w:qFormat/>
    <w:pPr>
      <w:ind w:left="708" w:hanging="0"/>
      <w:outlineLvl w:val="4"/>
    </w:pPr>
    <w:rPr>
      <w:rFonts w:ascii="Tms Rmn" w:hAnsi="Tms Rmn"/>
      <w:b/>
      <w:bCs/>
    </w:rPr>
  </w:style>
  <w:style w:type="paragraph" w:styleId="Nadpis6">
    <w:name w:val="Heading 6"/>
    <w:basedOn w:val="Normal"/>
    <w:next w:val="NormalIndent"/>
    <w:qFormat/>
    <w:pPr>
      <w:ind w:left="708" w:hanging="0"/>
      <w:outlineLvl w:val="5"/>
    </w:pPr>
    <w:rPr>
      <w:rFonts w:ascii="Tms Rmn" w:hAnsi="Tms Rmn" w:cs="Arial"/>
      <w:u w:val="single"/>
    </w:rPr>
  </w:style>
  <w:style w:type="paragraph" w:styleId="Nadpis7">
    <w:name w:val="Heading 7"/>
    <w:basedOn w:val="Normal"/>
    <w:next w:val="NormalIndent"/>
    <w:qFormat/>
    <w:pPr>
      <w:ind w:left="708" w:hanging="0"/>
      <w:outlineLvl w:val="6"/>
    </w:pPr>
    <w:rPr>
      <w:rFonts w:ascii="Tms Rmn" w:hAnsi="Tms Rmn"/>
      <w:i/>
      <w:iCs/>
    </w:rPr>
  </w:style>
  <w:style w:type="paragraph" w:styleId="Nadpis8">
    <w:name w:val="Heading 8"/>
    <w:basedOn w:val="Normal"/>
    <w:next w:val="NormalIndent"/>
    <w:qFormat/>
    <w:pPr>
      <w:ind w:left="708" w:hanging="0"/>
      <w:outlineLvl w:val="7"/>
    </w:pPr>
    <w:rPr>
      <w:rFonts w:ascii="Tms Rmn" w:hAnsi="Tms Rmn"/>
      <w:i/>
      <w:iCs/>
    </w:rPr>
  </w:style>
  <w:style w:type="paragraph" w:styleId="Nadpis9">
    <w:name w:val="Heading 9"/>
    <w:basedOn w:val="Normal"/>
    <w:next w:val="NormalIndent"/>
    <w:qFormat/>
    <w:pPr>
      <w:ind w:left="708" w:hanging="0"/>
      <w:outlineLvl w:val="8"/>
    </w:pPr>
    <w:rPr>
      <w:rFonts w:ascii="Tms Rmn" w:hAnsi="Tms Rm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Ukotveniepoznmkypodiarou">
    <w:name w:val="Ukotvenie poznámky pod čiarou"/>
    <w:rPr>
      <w:sz w:val="16"/>
      <w:szCs w:val="16"/>
      <w:vertAlign w:val="superscript"/>
    </w:rPr>
  </w:style>
  <w:style w:type="character" w:styleId="FootnoteCharacters">
    <w:name w:val="Footnote Characters"/>
    <w:semiHidden/>
    <w:qFormat/>
    <w:rPr>
      <w:sz w:val="16"/>
      <w:szCs w:val="16"/>
      <w:vertAlign w:val="superscript"/>
    </w:rPr>
  </w:style>
  <w:style w:type="character" w:styleId="Pagenumber">
    <w:name w:val="page number"/>
    <w:basedOn w:val="DefaultParagraphFont"/>
    <w:qFormat/>
    <w:rPr/>
  </w:style>
  <w:style w:type="character" w:styleId="TextbublinyChar" w:customStyle="1">
    <w:name w:val="Text bubliny Char"/>
    <w:link w:val="Textbubliny"/>
    <w:qFormat/>
    <w:rsid w:val="00a20618"/>
    <w:rPr>
      <w:rFonts w:ascii="Segoe UI" w:hAnsi="Segoe UI" w:cs="Segoe UI"/>
      <w:sz w:val="18"/>
      <w:szCs w:val="18"/>
      <w:lang w:eastAsia="cs-CZ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rsid w:val="00cc502b"/>
    <w:pPr>
      <w:spacing w:before="0" w:after="12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Indent">
    <w:name w:val="Normal Indent"/>
    <w:basedOn w:val="Normal"/>
    <w:qFormat/>
    <w:pPr>
      <w:ind w:left="708" w:hanging="0"/>
    </w:pPr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pPr>
      <w:tabs>
        <w:tab w:val="clear" w:pos="720"/>
        <w:tab w:val="center" w:pos="4819" w:leader="none"/>
        <w:tab w:val="right" w:pos="9071" w:leader="none"/>
      </w:tabs>
    </w:pPr>
    <w:rPr/>
  </w:style>
  <w:style w:type="paragraph" w:styleId="Poznmkapodiarou">
    <w:name w:val="Footnote Text"/>
    <w:basedOn w:val="Normal"/>
    <w:semiHidden/>
    <w:pPr/>
    <w:rPr/>
  </w:style>
  <w:style w:type="paragraph" w:styleId="Odsadenietelatextu">
    <w:name w:val="Body Text Indent"/>
    <w:basedOn w:val="Normal"/>
    <w:pPr>
      <w:tabs>
        <w:tab w:val="clear" w:pos="720"/>
        <w:tab w:val="left" w:pos="709" w:leader="none"/>
        <w:tab w:val="left" w:pos="2977" w:leader="none"/>
        <w:tab w:val="left" w:pos="4962" w:leader="none"/>
        <w:tab w:val="left" w:pos="6663" w:leader="none"/>
        <w:tab w:val="left" w:pos="8222" w:leader="none"/>
      </w:tabs>
      <w:ind w:left="426" w:hanging="0"/>
      <w:jc w:val="both"/>
    </w:pPr>
    <w:rPr>
      <w:rFonts w:ascii="Times New Roman" w:hAnsi="Times New Roman"/>
      <w:sz w:val="26"/>
      <w:szCs w:val="26"/>
    </w:rPr>
  </w:style>
  <w:style w:type="paragraph" w:styleId="BodyTextIndent2">
    <w:name w:val="Body Text Indent 2"/>
    <w:basedOn w:val="Normal"/>
    <w:qFormat/>
    <w:pPr>
      <w:tabs>
        <w:tab w:val="clear" w:pos="720"/>
        <w:tab w:val="left" w:pos="2127" w:leader="none"/>
        <w:tab w:val="left" w:pos="3686" w:leader="none"/>
        <w:tab w:val="left" w:pos="5387" w:leader="none"/>
        <w:tab w:val="left" w:pos="6804" w:leader="none"/>
      </w:tabs>
      <w:ind w:right="-12" w:firstLine="426"/>
    </w:pPr>
    <w:rPr>
      <w:rFonts w:ascii="Times New Roman" w:hAnsi="Times New Roman"/>
      <w:bCs/>
      <w:sz w:val="26"/>
      <w:szCs w:val="26"/>
    </w:rPr>
  </w:style>
  <w:style w:type="paragraph" w:styleId="Pta">
    <w:name w:val="Footer"/>
    <w:basedOn w:val="Normal"/>
    <w:pPr>
      <w:tabs>
        <w:tab w:val="clear" w:pos="720"/>
        <w:tab w:val="center" w:pos="4536" w:leader="none"/>
        <w:tab w:val="right" w:pos="9072" w:leader="none"/>
      </w:tabs>
    </w:pPr>
    <w:rPr/>
  </w:style>
  <w:style w:type="paragraph" w:styleId="PlainText">
    <w:name w:val="Plain Text"/>
    <w:basedOn w:val="Normal"/>
    <w:qFormat/>
    <w:rsid w:val="00af55b5"/>
    <w:pPr/>
    <w:rPr>
      <w:rFonts w:ascii="Courier New" w:hAnsi="Courier New" w:cs="Courier New"/>
      <w:lang w:val="cs-CZ"/>
    </w:rPr>
  </w:style>
  <w:style w:type="paragraph" w:styleId="BalloonText">
    <w:name w:val="Balloon Text"/>
    <w:basedOn w:val="Normal"/>
    <w:link w:val="TextbublinyChar"/>
    <w:qFormat/>
    <w:rsid w:val="00a20618"/>
    <w:pPr/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chart" Target="charts/chart1.xml"/><Relationship Id="rId3" Type="http://schemas.openxmlformats.org/officeDocument/2006/relationships/chart" Target="charts/chart2.xml"/><Relationship Id="rId4" Type="http://schemas.openxmlformats.org/officeDocument/2006/relationships/chart" Target="charts/chart3.xml"/><Relationship Id="rId5" Type="http://schemas.openxmlformats.org/officeDocument/2006/relationships/chart" Target="charts/chart4.xml"/><Relationship Id="rId6" Type="http://schemas.openxmlformats.org/officeDocument/2006/relationships/header" Target="header1.xml"/><Relationship Id="rId7" Type="http://schemas.openxmlformats.org/officeDocument/2006/relationships/footer" Target="footer1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<Relationship Id="rId11" Type="http://schemas.openxmlformats.org/officeDocument/2006/relationships/customXml" Target="../customXml/item1.xml"/>
</Relationships>
</file>

<file path=word/charts/_rels/chart1.xml.rels><?xml version="1.0" encoding="UTF-8"?>
<Relationships xmlns="http://schemas.openxmlformats.org/package/2006/relationships"><Relationship Id="rId1" Type="http://schemas.openxmlformats.org/officeDocument/2006/relationships/package" Target="../embeddings/Microsoft_Excel_Worksheet.xlsx"/>
</Relationships>
</file>

<file path=word/charts/_rels/chart2.xml.rels><?xml version="1.0" encoding="UTF-8"?>
<Relationships xmlns="http://schemas.openxmlformats.org/package/2006/relationships"><Relationship Id="rId1" Type="http://schemas.openxmlformats.org/officeDocument/2006/relationships/package" Target="../embeddings/Microsoft_Excel_Worksheet1.xlsx"/>
</Relationships>
</file>

<file path=word/charts/_rels/chart3.xml.rels><?xml version="1.0" encoding="UTF-8"?>
<Relationships xmlns="http://schemas.openxmlformats.org/package/2006/relationships"><Relationship Id="rId1" Type="http://schemas.openxmlformats.org/officeDocument/2006/relationships/package" Target="../embeddings/Microsoft_Excel_Worksheet2.xlsx"/>
</Relationships>
</file>

<file path=word/charts/_rels/chart4.xml.rels><?xml version="1.0" encoding="UTF-8"?>
<Relationships xmlns="http://schemas.openxmlformats.org/package/2006/relationships"><Relationship Id="rId1" Type="http://schemas.openxmlformats.org/officeDocument/2006/relationships/package" Target="../embeddings/Microsoft_Excel_Worksheet3.xlsx"/>
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n-US"/>
  <c:roundedCorners val="0"/>
  <c:chart>
    <c:autoTitleDeleted val="1"/>
    <c:plotArea>
      <c:layout>
        <c:manualLayout>
          <c:layoutTarget val="inner"/>
          <c:xMode val="edge"/>
          <c:yMode val="edge"/>
          <c:x val="0.1330625"/>
          <c:y val="0.0452222222222222"/>
          <c:w val="0.85025"/>
          <c:h val="0.872444444444444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label 0</c:f>
              <c:strCache>
                <c:ptCount val="1"/>
                <c:pt idx="0">
                  <c:v>Tržby</c:v>
                </c:pt>
              </c:strCache>
            </c:strRef>
          </c:tx>
          <c:spPr>
            <a:solidFill>
              <a:srgbClr val="ffcc0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7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outEnd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3"/>
                <c:pt idx="0">
                  <c:v>2020</c:v>
                </c:pt>
                <c:pt idx="1">
                  <c:v>2021</c:v>
                </c:pt>
                <c:pt idx="2">
                  <c:v>2022</c:v>
                </c:pt>
              </c:strCache>
            </c:strRef>
          </c:cat>
          <c:val>
            <c:numRef>
              <c:f>0</c:f>
              <c:numCache>
                <c:formatCode>General</c:formatCode>
                <c:ptCount val="3"/>
                <c:pt idx="0">
                  <c:v>352122</c:v>
                </c:pt>
                <c:pt idx="1">
                  <c:v>329948</c:v>
                </c:pt>
                <c:pt idx="2">
                  <c:v>343518</c:v>
                </c:pt>
              </c:numCache>
            </c:numRef>
          </c:val>
        </c:ser>
        <c:ser>
          <c:idx val="1"/>
          <c:order val="1"/>
          <c:tx>
            <c:strRef>
              <c:f>label 1</c:f>
              <c:strCache>
                <c:ptCount val="1"/>
                <c:pt idx="0">
                  <c:v>Pridaná hodnota</c:v>
                </c:pt>
              </c:strCache>
            </c:strRef>
          </c:tx>
          <c:spPr>
            <a:solidFill>
              <a:srgbClr val="ccffcc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7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outEnd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3"/>
                <c:pt idx="0">
                  <c:v>2020</c:v>
                </c:pt>
                <c:pt idx="1">
                  <c:v>2021</c:v>
                </c:pt>
                <c:pt idx="2">
                  <c:v>2022</c:v>
                </c:pt>
              </c:strCache>
            </c:strRef>
          </c:cat>
          <c:val>
            <c:numRef>
              <c:f>1</c:f>
              <c:numCache>
                <c:formatCode>General</c:formatCode>
                <c:ptCount val="3"/>
                <c:pt idx="0">
                  <c:v>337968</c:v>
                </c:pt>
                <c:pt idx="1">
                  <c:v>316590</c:v>
                </c:pt>
                <c:pt idx="2">
                  <c:v>329015</c:v>
                </c:pt>
              </c:numCache>
            </c:numRef>
          </c:val>
        </c:ser>
        <c:ser>
          <c:idx val="2"/>
          <c:order val="2"/>
          <c:tx>
            <c:strRef>
              <c:f>label 2</c:f>
              <c:strCache>
                <c:ptCount val="1"/>
                <c:pt idx="0">
                  <c:v>Hosp. výsledok</c:v>
                </c:pt>
              </c:strCache>
            </c:strRef>
          </c:tx>
          <c:spPr>
            <a:solidFill>
              <a:srgbClr val="ff808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7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outEnd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3"/>
                <c:pt idx="0">
                  <c:v>2020</c:v>
                </c:pt>
                <c:pt idx="1">
                  <c:v>2021</c:v>
                </c:pt>
                <c:pt idx="2">
                  <c:v>2022</c:v>
                </c:pt>
              </c:strCache>
            </c:strRef>
          </c:cat>
          <c:val>
            <c:numRef>
              <c:f>2</c:f>
              <c:numCache>
                <c:formatCode>General</c:formatCode>
                <c:ptCount val="3"/>
                <c:pt idx="0">
                  <c:v>1405581</c:v>
                </c:pt>
                <c:pt idx="1">
                  <c:v>1032695</c:v>
                </c:pt>
                <c:pt idx="2">
                  <c:v>1017229</c:v>
                </c:pt>
              </c:numCache>
            </c:numRef>
          </c:val>
        </c:ser>
        <c:gapWidth val="50"/>
        <c:overlap val="30"/>
        <c:axId val="84556024"/>
        <c:axId val="63314087"/>
      </c:barChart>
      <c:catAx>
        <c:axId val="84556024"/>
        <c:scaling>
          <c:orientation val="minMax"/>
        </c:scaling>
        <c:delete val="0"/>
        <c:axPos val="b"/>
        <c:numFmt formatCode="General" sourceLinked="0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lstStyle/>
          <a:p>
            <a:pPr>
              <a:defRPr b="1" sz="997" spc="-1" strike="noStrike">
                <a:solidFill>
                  <a:srgbClr val="000000"/>
                </a:solidFill>
                <a:latin typeface="Arial"/>
                <a:ea typeface="Arial"/>
              </a:defRPr>
            </a:pPr>
          </a:p>
        </c:txPr>
        <c:crossAx val="63314087"/>
        <c:crosses val="autoZero"/>
        <c:auto val="1"/>
        <c:lblAlgn val="ctr"/>
        <c:lblOffset val="100"/>
        <c:noMultiLvlLbl val="0"/>
      </c:catAx>
      <c:valAx>
        <c:axId val="63314087"/>
        <c:scaling>
          <c:orientation val="minMax"/>
        </c:scaling>
        <c:delete val="0"/>
        <c:axPos val="l"/>
        <c:numFmt formatCode="\ [$€-41B]\ * #,##0\ ;\ [$€-41B]\ * \(#,##0\);\ [$€-41B]\ * &quot;- &quot;;\ @\ " sourceLinked="0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lstStyle/>
          <a:p>
            <a:pPr>
              <a:defRPr b="1" sz="997" spc="-1" strike="noStrike">
                <a:solidFill>
                  <a:srgbClr val="000000"/>
                </a:solidFill>
                <a:latin typeface="Arial"/>
                <a:ea typeface="Arial"/>
              </a:defRPr>
            </a:pPr>
          </a:p>
        </c:txPr>
        <c:crossAx val="84556024"/>
        <c:crosses val="autoZero"/>
        <c:crossBetween val="between"/>
      </c:valAx>
      <c:spPr>
        <a:noFill/>
        <a:ln w="25200">
          <a:noFill/>
        </a:ln>
      </c:spPr>
    </c:plotArea>
    <c:legend>
      <c:legendPos val="r"/>
      <c:layout>
        <c:manualLayout>
          <c:xMode val="edge"/>
          <c:yMode val="edge"/>
          <c:x val="0.4909375"/>
          <c:y val="0.112666666666667"/>
          <c:w val="0.232889555597225"/>
          <c:h val="0.131681297921991"/>
        </c:manualLayout>
      </c:layout>
      <c:overlay val="0"/>
      <c:spPr>
        <a:noFill/>
        <a:ln w="3240">
          <a:solidFill>
            <a:srgbClr val="000000"/>
          </a:solidFill>
          <a:round/>
        </a:ln>
      </c:spPr>
      <c:txPr>
        <a:bodyPr/>
        <a:lstStyle/>
        <a:p>
          <a:pPr>
            <a:defRPr b="1" sz="917" spc="-1" strike="noStrike">
              <a:solidFill>
                <a:srgbClr val="000000"/>
              </a:solidFill>
              <a:latin typeface="Arial"/>
              <a:ea typeface="Arial"/>
            </a:defRPr>
          </a:pPr>
        </a:p>
      </c:txPr>
    </c:legend>
    <c:plotVisOnly val="1"/>
    <c:dispBlanksAs val="gap"/>
  </c:chart>
  <c:spPr>
    <a:noFill/>
    <a:ln w="9360">
      <a:noFill/>
    </a:ln>
  </c:sp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n-US"/>
  <c:roundedCorners val="0"/>
  <c:chart>
    <c:autoTitleDeleted val="1"/>
    <c:plotArea>
      <c:layout>
        <c:manualLayout>
          <c:layoutTarget val="inner"/>
          <c:xMode val="edge"/>
          <c:yMode val="edge"/>
          <c:x val="0.27375"/>
          <c:y val="0.0537777777777778"/>
          <c:w val="0.692"/>
          <c:h val="0.848444444444444"/>
        </c:manualLayout>
      </c:layout>
      <c:barChart>
        <c:barDir val="col"/>
        <c:grouping val="stacked"/>
        <c:varyColors val="0"/>
        <c:ser>
          <c:idx val="0"/>
          <c:order val="0"/>
          <c:tx>
            <c:strRef>
              <c:f>label 0</c:f>
              <c:strCache>
                <c:ptCount val="1"/>
                <c:pt idx="0">
                  <c:v>Vlastné imanie</c:v>
                </c:pt>
              </c:strCache>
            </c:strRef>
          </c:tx>
          <c:spPr>
            <a:solidFill>
              <a:srgbClr val="00ccff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6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ctr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3"/>
                <c:pt idx="0">
                  <c:v>2020</c:v>
                </c:pt>
                <c:pt idx="1">
                  <c:v>2021</c:v>
                </c:pt>
                <c:pt idx="2">
                  <c:v>2022</c:v>
                </c:pt>
              </c:strCache>
            </c:strRef>
          </c:cat>
          <c:val>
            <c:numRef>
              <c:f>0</c:f>
              <c:numCache>
                <c:formatCode>General</c:formatCode>
                <c:ptCount val="3"/>
                <c:pt idx="0">
                  <c:v>30102865</c:v>
                </c:pt>
                <c:pt idx="1">
                  <c:v>29405015</c:v>
                </c:pt>
                <c:pt idx="2">
                  <c:v>29550362</c:v>
                </c:pt>
              </c:numCache>
            </c:numRef>
          </c:val>
        </c:ser>
        <c:ser>
          <c:idx val="1"/>
          <c:order val="1"/>
          <c:tx>
            <c:strRef>
              <c:f>label 1</c:f>
              <c:strCache>
                <c:ptCount val="1"/>
                <c:pt idx="0">
                  <c:v>Záväzky</c:v>
                </c:pt>
              </c:strCache>
            </c:strRef>
          </c:tx>
          <c:spPr>
            <a:solidFill>
              <a:srgbClr val="ff808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6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ctr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3"/>
                <c:pt idx="0">
                  <c:v>2020</c:v>
                </c:pt>
                <c:pt idx="1">
                  <c:v>2021</c:v>
                </c:pt>
                <c:pt idx="2">
                  <c:v>2022</c:v>
                </c:pt>
              </c:strCache>
            </c:strRef>
          </c:cat>
          <c:val>
            <c:numRef>
              <c:f>1</c:f>
              <c:numCache>
                <c:formatCode>General</c:formatCode>
                <c:ptCount val="3"/>
                <c:pt idx="0">
                  <c:v>116781</c:v>
                </c:pt>
                <c:pt idx="1">
                  <c:v>93700</c:v>
                </c:pt>
                <c:pt idx="2">
                  <c:v>109365</c:v>
                </c:pt>
              </c:numCache>
            </c:numRef>
          </c:val>
        </c:ser>
        <c:ser>
          <c:idx val="2"/>
          <c:order val="2"/>
          <c:tx>
            <c:strRef>
              <c:f>label 2</c:f>
              <c:strCache>
                <c:ptCount val="1"/>
                <c:pt idx="0">
                  <c:v>Časové rozlíšenie</c:v>
                </c:pt>
              </c:strCache>
            </c:strRef>
          </c:tx>
          <c:spPr>
            <a:solidFill>
              <a:srgbClr val="ffcc0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6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ctr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3"/>
                <c:pt idx="0">
                  <c:v>2020</c:v>
                </c:pt>
                <c:pt idx="1">
                  <c:v>2021</c:v>
                </c:pt>
                <c:pt idx="2">
                  <c:v>2022</c:v>
                </c:pt>
              </c:strCache>
            </c:strRef>
          </c:cat>
          <c:val>
            <c:numRef>
              <c:f>2</c:f>
              <c:numCache>
                <c:formatCode>General</c:formatCode>
                <c:ptCount val="3"/>
                <c:pt idx="0">
                  <c:v>0</c:v>
                </c:pt>
                <c:pt idx="1">
                  <c:v>0</c:v>
                </c:pt>
                <c:pt idx="2">
                  <c:v>0</c:v>
                </c:pt>
              </c:numCache>
            </c:numRef>
          </c:val>
        </c:ser>
        <c:gapWidth val="50"/>
        <c:overlap val="100"/>
        <c:axId val="45647396"/>
        <c:axId val="12047395"/>
      </c:barChart>
      <c:catAx>
        <c:axId val="45647396"/>
        <c:scaling>
          <c:orientation val="minMax"/>
        </c:scaling>
        <c:delete val="0"/>
        <c:axPos val="b"/>
        <c:numFmt formatCode="General" sourceLinked="0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lstStyle/>
          <a:p>
            <a:pPr>
              <a:defRPr b="1" sz="996" spc="-1" strike="noStrike">
                <a:solidFill>
                  <a:srgbClr val="000000"/>
                </a:solidFill>
                <a:latin typeface="Arial"/>
                <a:ea typeface="Arial"/>
              </a:defRPr>
            </a:pPr>
          </a:p>
        </c:txPr>
        <c:crossAx val="12047395"/>
        <c:crosses val="autoZero"/>
        <c:auto val="1"/>
        <c:lblAlgn val="ctr"/>
        <c:lblOffset val="100"/>
        <c:noMultiLvlLbl val="0"/>
      </c:catAx>
      <c:valAx>
        <c:axId val="12047395"/>
        <c:scaling>
          <c:orientation val="minMax"/>
          <c:min val="0"/>
        </c:scaling>
        <c:delete val="0"/>
        <c:axPos val="l"/>
        <c:numFmt formatCode="\ [$€-41B]\ * #,##0\ ;\ [$€-41B]\ * \(#,##0\);\ [$€-41B]\ * &quot;- &quot;;\ @\ " sourceLinked="0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lstStyle/>
          <a:p>
            <a:pPr>
              <a:defRPr b="1" sz="996" spc="-1" strike="noStrike">
                <a:solidFill>
                  <a:srgbClr val="000000"/>
                </a:solidFill>
                <a:latin typeface="Arial"/>
                <a:ea typeface="Arial"/>
              </a:defRPr>
            </a:pPr>
          </a:p>
        </c:txPr>
        <c:crossAx val="45647396"/>
        <c:crosses val="autoZero"/>
        <c:crossBetween val="between"/>
      </c:valAx>
      <c:spPr>
        <a:noFill/>
        <a:ln w="25200">
          <a:noFill/>
        </a:ln>
      </c:spPr>
    </c:plotArea>
    <c:legend>
      <c:legendPos val="r"/>
      <c:layout>
        <c:manualLayout>
          <c:xMode val="edge"/>
          <c:yMode val="edge"/>
          <c:x val="0.4399375"/>
          <c:y val="0.520333333333333"/>
          <c:w val="0.448653040815051"/>
          <c:h val="0.165685076119569"/>
        </c:manualLayout>
      </c:layout>
      <c:overlay val="0"/>
      <c:spPr>
        <a:solidFill>
          <a:srgbClr val="ffffff"/>
        </a:solidFill>
        <a:ln w="3240">
          <a:solidFill>
            <a:srgbClr val="000000"/>
          </a:solidFill>
          <a:round/>
        </a:ln>
      </c:spPr>
      <c:txPr>
        <a:bodyPr/>
        <a:lstStyle/>
        <a:p>
          <a:pPr>
            <a:defRPr b="1" sz="916" spc="-1" strike="noStrike">
              <a:solidFill>
                <a:srgbClr val="000000"/>
              </a:solidFill>
              <a:latin typeface="Arial"/>
              <a:ea typeface="Arial"/>
            </a:defRPr>
          </a:pPr>
        </a:p>
      </c:txPr>
    </c:legend>
    <c:plotVisOnly val="1"/>
    <c:dispBlanksAs val="gap"/>
  </c:chart>
  <c:spPr>
    <a:noFill/>
    <a:ln w="9360">
      <a:noFill/>
    </a:ln>
  </c:spPr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n-US"/>
  <c:roundedCorners val="0"/>
  <c:chart>
    <c:autoTitleDeleted val="1"/>
    <c:plotArea>
      <c:layout>
        <c:manualLayout>
          <c:layoutTarget val="inner"/>
          <c:xMode val="edge"/>
          <c:yMode val="edge"/>
          <c:x val="0.2706875"/>
          <c:y val="0.054"/>
          <c:w val="0.6955"/>
          <c:h val="0.847666666666667"/>
        </c:manualLayout>
      </c:layout>
      <c:barChart>
        <c:barDir val="col"/>
        <c:grouping val="stacked"/>
        <c:varyColors val="0"/>
        <c:ser>
          <c:idx val="0"/>
          <c:order val="0"/>
          <c:tx>
            <c:strRef>
              <c:f>label 0</c:f>
              <c:strCache>
                <c:ptCount val="1"/>
                <c:pt idx="0">
                  <c:v>Neobežný majetok</c:v>
                </c:pt>
              </c:strCache>
            </c:strRef>
          </c:tx>
          <c:spPr>
            <a:solidFill>
              <a:srgbClr val="00ff0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5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ctr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3"/>
                <c:pt idx="0">
                  <c:v>2020</c:v>
                </c:pt>
                <c:pt idx="1">
                  <c:v>2021</c:v>
                </c:pt>
                <c:pt idx="2">
                  <c:v>2022</c:v>
                </c:pt>
              </c:strCache>
            </c:strRef>
          </c:cat>
          <c:val>
            <c:numRef>
              <c:f>0</c:f>
              <c:numCache>
                <c:formatCode>General</c:formatCode>
                <c:ptCount val="3"/>
                <c:pt idx="0">
                  <c:v>10261842</c:v>
                </c:pt>
                <c:pt idx="1">
                  <c:v>8525308</c:v>
                </c:pt>
                <c:pt idx="2">
                  <c:v>7648254</c:v>
                </c:pt>
              </c:numCache>
            </c:numRef>
          </c:val>
        </c:ser>
        <c:ser>
          <c:idx val="1"/>
          <c:order val="1"/>
          <c:tx>
            <c:strRef>
              <c:f>label 1</c:f>
              <c:strCache>
                <c:ptCount val="1"/>
                <c:pt idx="0">
                  <c:v>Obežný majetok</c:v>
                </c:pt>
              </c:strCache>
            </c:strRef>
          </c:tx>
          <c:spPr>
            <a:solidFill>
              <a:srgbClr val="33cccc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5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ctr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3"/>
                <c:pt idx="0">
                  <c:v>2020</c:v>
                </c:pt>
                <c:pt idx="1">
                  <c:v>2021</c:v>
                </c:pt>
                <c:pt idx="2">
                  <c:v>2022</c:v>
                </c:pt>
              </c:strCache>
            </c:strRef>
          </c:cat>
          <c:val>
            <c:numRef>
              <c:f>1</c:f>
              <c:numCache>
                <c:formatCode>General</c:formatCode>
                <c:ptCount val="3"/>
                <c:pt idx="0">
                  <c:v>19958504</c:v>
                </c:pt>
                <c:pt idx="1">
                  <c:v>20973288</c:v>
                </c:pt>
                <c:pt idx="2">
                  <c:v>22011354</c:v>
                </c:pt>
              </c:numCache>
            </c:numRef>
          </c:val>
        </c:ser>
        <c:ser>
          <c:idx val="2"/>
          <c:order val="2"/>
          <c:tx>
            <c:strRef>
              <c:f>label 2</c:f>
              <c:strCache>
                <c:ptCount val="1"/>
                <c:pt idx="0">
                  <c:v>Časové rozlíšenie</c:v>
                </c:pt>
              </c:strCache>
            </c:strRef>
          </c:tx>
          <c:spPr>
            <a:solidFill>
              <a:srgbClr val="ffff0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5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ctr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3"/>
                <c:pt idx="0">
                  <c:v>2020</c:v>
                </c:pt>
                <c:pt idx="1">
                  <c:v>2021</c:v>
                </c:pt>
                <c:pt idx="2">
                  <c:v>2022</c:v>
                </c:pt>
              </c:strCache>
            </c:strRef>
          </c:cat>
          <c:val>
            <c:numRef>
              <c:f>2</c:f>
              <c:numCache>
                <c:formatCode>General</c:formatCode>
                <c:ptCount val="3"/>
                <c:pt idx="0">
                  <c:v>119</c:v>
                </c:pt>
                <c:pt idx="1">
                  <c:v>119</c:v>
                </c:pt>
                <c:pt idx="2">
                  <c:v>119</c:v>
                </c:pt>
              </c:numCache>
            </c:numRef>
          </c:val>
        </c:ser>
        <c:gapWidth val="50"/>
        <c:overlap val="100"/>
        <c:axId val="20643217"/>
        <c:axId val="58359819"/>
      </c:barChart>
      <c:catAx>
        <c:axId val="20643217"/>
        <c:scaling>
          <c:orientation val="minMax"/>
        </c:scaling>
        <c:delete val="0"/>
        <c:axPos val="b"/>
        <c:numFmt formatCode="General" sourceLinked="0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lstStyle/>
          <a:p>
            <a:pPr>
              <a:defRPr b="1" sz="995" spc="-1" strike="noStrike">
                <a:solidFill>
                  <a:srgbClr val="000000"/>
                </a:solidFill>
                <a:latin typeface="Arial"/>
                <a:ea typeface="Arial"/>
              </a:defRPr>
            </a:pPr>
          </a:p>
        </c:txPr>
        <c:crossAx val="58359819"/>
        <c:crosses val="autoZero"/>
        <c:auto val="1"/>
        <c:lblAlgn val="ctr"/>
        <c:lblOffset val="100"/>
        <c:noMultiLvlLbl val="0"/>
      </c:catAx>
      <c:valAx>
        <c:axId val="58359819"/>
        <c:scaling>
          <c:orientation val="minMax"/>
        </c:scaling>
        <c:delete val="0"/>
        <c:axPos val="l"/>
        <c:numFmt formatCode="\ [$€-41B]\ * #,##0\ ;\ [$€-41B]\ * \(#,##0\);\ [$€-41B]\ * &quot;- &quot;;\ @\ " sourceLinked="0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lstStyle/>
          <a:p>
            <a:pPr>
              <a:defRPr b="1" sz="995" spc="-1" strike="noStrike">
                <a:solidFill>
                  <a:srgbClr val="000000"/>
                </a:solidFill>
                <a:latin typeface="Arial"/>
                <a:ea typeface="Arial"/>
              </a:defRPr>
            </a:pPr>
          </a:p>
        </c:txPr>
        <c:crossAx val="20643217"/>
        <c:crosses val="autoZero"/>
        <c:crossBetween val="between"/>
      </c:valAx>
      <c:spPr>
        <a:noFill/>
        <a:ln w="25200">
          <a:noFill/>
        </a:ln>
      </c:spPr>
    </c:plotArea>
    <c:legend>
      <c:legendPos val="r"/>
      <c:layout>
        <c:manualLayout>
          <c:xMode val="edge"/>
          <c:yMode val="edge"/>
          <c:x val="0.406"/>
          <c:y val="0.390555555555556"/>
          <c:w val="0.499031189449341"/>
          <c:h val="0.156906322924769"/>
        </c:manualLayout>
      </c:layout>
      <c:overlay val="0"/>
      <c:spPr>
        <a:solidFill>
          <a:srgbClr val="ffffff"/>
        </a:solidFill>
        <a:ln w="3240">
          <a:solidFill>
            <a:srgbClr val="000000"/>
          </a:solidFill>
          <a:round/>
        </a:ln>
      </c:spPr>
      <c:txPr>
        <a:bodyPr/>
        <a:lstStyle/>
        <a:p>
          <a:pPr>
            <a:defRPr b="1" sz="916" spc="-1" strike="noStrike">
              <a:solidFill>
                <a:srgbClr val="000000"/>
              </a:solidFill>
              <a:latin typeface="Arial"/>
              <a:ea typeface="Arial"/>
            </a:defRPr>
          </a:pPr>
        </a:p>
      </c:txPr>
    </c:legend>
    <c:plotVisOnly val="1"/>
    <c:dispBlanksAs val="gap"/>
  </c:chart>
  <c:spPr>
    <a:noFill/>
    <a:ln w="9360">
      <a:noFill/>
    </a:ln>
  </c:spPr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n-US"/>
  <c:roundedCorners val="0"/>
  <c:chart>
    <c:autoTitleDeleted val="1"/>
    <c:plotArea>
      <c:layout>
        <c:manualLayout>
          <c:layoutTarget val="inner"/>
          <c:xMode val="edge"/>
          <c:yMode val="edge"/>
          <c:x val="0.120625"/>
          <c:y val="0.0725555555555556"/>
          <c:w val="0.863625"/>
          <c:h val="0.861333333333333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label 0</c:f>
              <c:strCache>
                <c:ptCount val="1"/>
                <c:pt idx="0">
                  <c:v>Stav k 1.1.2022</c:v>
                </c:pt>
              </c:strCache>
            </c:strRef>
          </c:tx>
          <c:spPr>
            <a:solidFill>
              <a:srgbClr val="ccccff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6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outEnd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1"/>
                <c:pt idx="0">
                  <c:v/>
                </c:pt>
              </c:strCache>
            </c:strRef>
          </c:cat>
          <c:val>
            <c:numRef>
              <c:f>0</c:f>
              <c:numCache>
                <c:formatCode>General</c:formatCode>
                <c:ptCount val="1"/>
                <c:pt idx="0">
                  <c:v>6761502</c:v>
                </c:pt>
              </c:numCache>
            </c:numRef>
          </c:val>
        </c:ser>
        <c:ser>
          <c:idx val="1"/>
          <c:order val="1"/>
          <c:tx>
            <c:strRef>
              <c:f>label 1</c:f>
              <c:strCache>
                <c:ptCount val="1"/>
                <c:pt idx="0">
                  <c:v>Prevádzkové činnosti</c:v>
                </c:pt>
              </c:strCache>
            </c:strRef>
          </c:tx>
          <c:spPr>
            <a:solidFill>
              <a:srgbClr val="99cc0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6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outEnd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1"/>
                <c:pt idx="0">
                  <c:v/>
                </c:pt>
              </c:strCache>
            </c:strRef>
          </c:cat>
          <c:val>
            <c:numRef>
              <c:f>1</c:f>
              <c:numCache>
                <c:formatCode>General</c:formatCode>
                <c:ptCount val="1"/>
                <c:pt idx="0">
                  <c:v>-15719</c:v>
                </c:pt>
              </c:numCache>
            </c:numRef>
          </c:val>
        </c:ser>
        <c:ser>
          <c:idx val="2"/>
          <c:order val="2"/>
          <c:tx>
            <c:strRef>
              <c:f>label 2</c:f>
              <c:strCache>
                <c:ptCount val="1"/>
                <c:pt idx="0">
                  <c:v>Investičné činnosti</c:v>
                </c:pt>
              </c:strCache>
            </c:strRef>
          </c:tx>
          <c:spPr>
            <a:solidFill>
              <a:srgbClr val="ff99cc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6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outEnd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1"/>
                <c:pt idx="0">
                  <c:v/>
                </c:pt>
              </c:strCache>
            </c:strRef>
          </c:cat>
          <c:val>
            <c:numRef>
              <c:f>2</c:f>
              <c:numCache>
                <c:formatCode>General</c:formatCode>
                <c:ptCount val="1"/>
                <c:pt idx="0">
                  <c:v>0</c:v>
                </c:pt>
              </c:numCache>
            </c:numRef>
          </c:val>
        </c:ser>
        <c:ser>
          <c:idx val="3"/>
          <c:order val="3"/>
          <c:tx>
            <c:strRef>
              <c:f>label 3</c:f>
              <c:strCache>
                <c:ptCount val="1"/>
                <c:pt idx="0">
                  <c:v>Finančné činnosti</c:v>
                </c:pt>
              </c:strCache>
            </c:strRef>
          </c:tx>
          <c:spPr>
            <a:solidFill>
              <a:srgbClr val="ffff0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6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outEnd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1"/>
                <c:pt idx="0">
                  <c:v/>
                </c:pt>
              </c:strCache>
            </c:strRef>
          </c:cat>
          <c:val>
            <c:numRef>
              <c:f>3</c:f>
              <c:numCache>
                <c:formatCode>General</c:formatCode>
                <c:ptCount val="1"/>
                <c:pt idx="0">
                  <c:v>-369</c:v>
                </c:pt>
              </c:numCache>
            </c:numRef>
          </c:val>
        </c:ser>
        <c:ser>
          <c:idx val="4"/>
          <c:order val="4"/>
          <c:tx>
            <c:strRef>
              <c:f>label 4</c:f>
              <c:strCache>
                <c:ptCount val="1"/>
                <c:pt idx="0">
                  <c:v>Stav k 31.12.2022</c:v>
                </c:pt>
              </c:strCache>
            </c:strRef>
          </c:tx>
          <c:spPr>
            <a:solidFill>
              <a:srgbClr val="ccccff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txPr>
              <a:bodyPr wrap="none"/>
              <a:lstStyle/>
              <a:p>
                <a:pPr>
                  <a:defRPr b="1" sz="996" spc="-1" strike="noStrike">
                    <a:solidFill>
                      <a:srgbClr val="000000"/>
                    </a:solidFill>
                    <a:latin typeface="Arial"/>
                    <a:ea typeface="Arial"/>
                  </a:defRPr>
                </a:pPr>
              </a:p>
            </c:txPr>
            <c:dLblPos val="outEnd"/>
            <c:showLegendKey val="0"/>
            <c:showVal val="0"/>
            <c:showCatName val="0"/>
            <c:showSerName val="0"/>
            <c:showPercent val="0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1"/>
                <c:pt idx="0">
                  <c:v/>
                </c:pt>
              </c:strCache>
            </c:strRef>
          </c:cat>
          <c:val>
            <c:numRef>
              <c:f>4</c:f>
              <c:numCache>
                <c:formatCode>General</c:formatCode>
                <c:ptCount val="1"/>
                <c:pt idx="0">
                  <c:v>6745414</c:v>
                </c:pt>
              </c:numCache>
            </c:numRef>
          </c:val>
        </c:ser>
        <c:gapWidth val="50"/>
        <c:overlap val="30"/>
        <c:axId val="97358046"/>
        <c:axId val="148621"/>
      </c:barChart>
      <c:catAx>
        <c:axId val="97358046"/>
        <c:scaling>
          <c:orientation val="minMax"/>
        </c:scaling>
        <c:delete val="0"/>
        <c:axPos val="b"/>
        <c:numFmt formatCode="General" sourceLinked="0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lstStyle/>
          <a:p>
            <a:pPr>
              <a:defRPr b="1" sz="996" spc="-1" strike="noStrike">
                <a:solidFill>
                  <a:srgbClr val="000000"/>
                </a:solidFill>
                <a:latin typeface="Arial"/>
                <a:ea typeface="Arial"/>
              </a:defRPr>
            </a:pPr>
          </a:p>
        </c:txPr>
        <c:crossAx val="148621"/>
        <c:crosses val="autoZero"/>
        <c:auto val="1"/>
        <c:lblAlgn val="ctr"/>
        <c:lblOffset val="100"/>
        <c:noMultiLvlLbl val="0"/>
      </c:catAx>
      <c:valAx>
        <c:axId val="148621"/>
        <c:scaling>
          <c:orientation val="minMax"/>
        </c:scaling>
        <c:delete val="0"/>
        <c:axPos val="l"/>
        <c:numFmt formatCode="\ [$€-41B]\ * #,##0.00\ ;\ [$€-41B]\ * \(#,##0.00\);\ [$€-41B]\ * \-#\ ;\ @\ " sourceLinked="0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lstStyle/>
          <a:p>
            <a:pPr>
              <a:defRPr b="1" sz="996" spc="-1" strike="noStrike">
                <a:solidFill>
                  <a:srgbClr val="000000"/>
                </a:solidFill>
                <a:latin typeface="Arial"/>
                <a:ea typeface="Arial"/>
              </a:defRPr>
            </a:pPr>
          </a:p>
        </c:txPr>
        <c:crossAx val="97358046"/>
        <c:crosses val="autoZero"/>
        <c:crossBetween val="between"/>
      </c:valAx>
      <c:spPr>
        <a:noFill/>
        <a:ln w="25200">
          <a:noFill/>
        </a:ln>
      </c:spPr>
    </c:plotArea>
    <c:legend>
      <c:legendPos val="r"/>
      <c:layout>
        <c:manualLayout>
          <c:xMode val="edge"/>
          <c:yMode val="edge"/>
          <c:x val="0.4506875"/>
          <c:y val="0.288666666666667"/>
          <c:w val="0.289580598787424"/>
          <c:h val="0.349816646294033"/>
        </c:manualLayout>
      </c:layout>
      <c:overlay val="0"/>
      <c:spPr>
        <a:solidFill>
          <a:srgbClr val="ffffff"/>
        </a:solidFill>
        <a:ln w="3240">
          <a:solidFill>
            <a:srgbClr val="000000"/>
          </a:solidFill>
          <a:round/>
        </a:ln>
      </c:spPr>
      <c:txPr>
        <a:bodyPr/>
        <a:lstStyle/>
        <a:p>
          <a:pPr>
            <a:defRPr b="1" sz="916" spc="-1" strike="noStrike">
              <a:solidFill>
                <a:srgbClr val="000000"/>
              </a:solidFill>
              <a:latin typeface="Arial"/>
              <a:ea typeface="Arial"/>
            </a:defRPr>
          </a:pPr>
        </a:p>
      </c:txPr>
    </c:legend>
    <c:plotVisOnly val="1"/>
    <c:dispBlanksAs val="gap"/>
  </c:chart>
  <c:spPr>
    <a:noFill/>
    <a:ln w="9360">
      <a:noFill/>
    </a:ln>
  </c:spPr>
  <c:externalData r:id="rId1"/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419CE4-E3D0-4D63-9A29-EDD8BCE34E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518</TotalTime>
  <Application>LibreOffice/7.0.4.2$Windows_X86_64 LibreOffice_project/dcf040e67528d9187c66b2379df5ea4407429775</Application>
  <AppVersion>15.0000</AppVersion>
  <Pages>39</Pages>
  <Words>1788</Words>
  <Characters>8355</Characters>
  <CharactersWithSpaces>11031</CharactersWithSpaces>
  <Paragraphs>602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2020-04-27T10:05:00Z</dcterms:created>
  <dc:creator>Management Library</dc:creator>
  <dc:description/>
  <dc:language>sk-SK</dc:language>
  <cp:lastModifiedBy>Ing. Martin Šepeľák</cp:lastModifiedBy>
  <cp:lastPrinted>2020-04-30T07:03:00Z</cp:lastPrinted>
  <dcterms:modified xsi:type="dcterms:W3CDTF">2023-03-28T18:44:00Z</dcterms:modified>
  <cp:revision>116</cp:revision>
  <dc:subject/>
  <dc:title>PLYNROZ, akciová spoločnosť, Sobrance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17cb76b2-10b8-4fe1-93d4-2202842406cd_Application">
    <vt:lpwstr>Microsoft Azure Information Protection</vt:lpwstr>
  </property>
  <property fmtid="{D5CDD505-2E9C-101B-9397-08002B2CF9AE}" pid="3" name="MSIP_Label_17cb76b2-10b8-4fe1-93d4-2202842406cd_Enabled">
    <vt:lpwstr>True</vt:lpwstr>
  </property>
  <property fmtid="{D5CDD505-2E9C-101B-9397-08002B2CF9AE}" pid="4" name="MSIP_Label_17cb76b2-10b8-4fe1-93d4-2202842406cd_Extended_MSFT_Method">
    <vt:lpwstr>Manual</vt:lpwstr>
  </property>
  <property fmtid="{D5CDD505-2E9C-101B-9397-08002B2CF9AE}" pid="5" name="MSIP_Label_17cb76b2-10b8-4fe1-93d4-2202842406cd_Name">
    <vt:lpwstr>External Public</vt:lpwstr>
  </property>
  <property fmtid="{D5CDD505-2E9C-101B-9397-08002B2CF9AE}" pid="6" name="MSIP_Label_17cb76b2-10b8-4fe1-93d4-2202842406cd_Owner">
    <vt:lpwstr>Martin_Sepelak@dell.com</vt:lpwstr>
  </property>
  <property fmtid="{D5CDD505-2E9C-101B-9397-08002B2CF9AE}" pid="7" name="MSIP_Label_17cb76b2-10b8-4fe1-93d4-2202842406cd_SetDate">
    <vt:lpwstr>2020-02-10T12:22:04.7235243Z</vt:lpwstr>
  </property>
  <property fmtid="{D5CDD505-2E9C-101B-9397-08002B2CF9AE}" pid="8" name="MSIP_Label_17cb76b2-10b8-4fe1-93d4-2202842406cd_SiteId">
    <vt:lpwstr>945c199a-83a2-4e80-9f8c-5a91be5752dd</vt:lpwstr>
  </property>
  <property fmtid="{D5CDD505-2E9C-101B-9397-08002B2CF9AE}" pid="9" name="aiplabel">
    <vt:lpwstr>External Public</vt:lpwstr>
  </property>
</Properties>
</file>