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2"/>
                <w:lang w:eastAsia="sk-SK"/>
              </w:rPr>
              <w:t>2ak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Podzámska 5,  94061  Nové Zámky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účtovnej závierky za bezprostredne predchádzajúce účtovné obdobie dňa </w:t>
      </w:r>
      <w:r>
        <w:rPr>
          <w:rFonts w:cs="Arial"/>
          <w:color w:val="C00000"/>
          <w:sz w:val="20"/>
          <w:szCs w:val="24"/>
          <w:lang w:eastAsia="sk-SK"/>
        </w:rPr>
        <w:t>29. 04. 2022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2020 k poslednému dňu kalendárneho roka 20</w:t>
      </w:r>
      <w:r>
        <w:rPr>
          <w:rFonts w:cs="Arial"/>
          <w:color w:val="C00000"/>
          <w:sz w:val="20"/>
          <w:szCs w:val="24"/>
          <w:lang w:eastAsia="sk-SK"/>
        </w:rPr>
        <w:t>22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2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2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8"/>
        <w:gridCol w:w="1667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1"/>
        <w:gridCol w:w="1507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Počítač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Softwér STOR CAD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Škoda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5"/>
        <w:gridCol w:w="5814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3"/>
        <w:gridCol w:w="291"/>
        <w:gridCol w:w="578"/>
        <w:gridCol w:w="293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12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5"/>
        <w:gridCol w:w="994"/>
        <w:gridCol w:w="851"/>
        <w:gridCol w:w="2124"/>
        <w:gridCol w:w="2554"/>
      </w:tblGrid>
      <w:tr>
        <w:trPr/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</w:rPr>
        <w:t>Určenie ocenenia finančných nástrojov alebo majetku, ktorý nie je finančným nástrojom pri oceňovaní reálnou hodnotou</w:t>
      </w:r>
    </w:p>
    <w:p>
      <w:pPr>
        <w:pStyle w:val="ListParagraph"/>
        <w:numPr>
          <w:ilvl w:val="0"/>
          <w:numId w:val="3"/>
        </w:numPr>
        <w:spacing w:lineRule="auto" w:line="240" w:before="0" w:after="0"/>
        <w:ind w:left="1066" w:hanging="357"/>
        <w:contextualSpacing/>
        <w:jc w:val="both"/>
        <w:rPr>
          <w:color w:val="C00000"/>
          <w:szCs w:val="22"/>
        </w:rPr>
      </w:pPr>
      <w:r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ListParagraph"/>
        <w:numPr>
          <w:ilvl w:val="0"/>
          <w:numId w:val="3"/>
        </w:numPr>
        <w:spacing w:lineRule="auto" w:line="240" w:before="0" w:after="0"/>
        <w:contextualSpacing/>
        <w:jc w:val="both"/>
        <w:rPr>
          <w:color w:val="C00000"/>
          <w:szCs w:val="22"/>
        </w:rPr>
      </w:pPr>
      <w:r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ListParagraph"/>
        <w:numPr>
          <w:ilvl w:val="0"/>
          <w:numId w:val="3"/>
        </w:numPr>
        <w:spacing w:lineRule="auto" w:line="240" w:before="0" w:after="0"/>
        <w:contextualSpacing/>
        <w:jc w:val="both"/>
        <w:rPr>
          <w:color w:val="C00000"/>
          <w:szCs w:val="22"/>
        </w:rPr>
      </w:pPr>
      <w:r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istoty budúcich peňažných tokov</w:t>
      </w:r>
    </w:p>
    <w:p>
      <w:pPr>
        <w:pStyle w:val="ListParagraph"/>
        <w:spacing w:lineRule="auto" w:line="240" w:before="0" w:after="0"/>
        <w:contextualSpacing/>
        <w:jc w:val="both"/>
        <w:rPr>
          <w:color w:val="C00000"/>
          <w:szCs w:val="22"/>
        </w:rPr>
      </w:pPr>
      <w:r>
        <w:rPr>
          <w:color w:val="C00000"/>
          <w:szCs w:val="22"/>
        </w:rPr>
      </w:r>
    </w:p>
    <w:p>
      <w:pPr>
        <w:pStyle w:val="ListParagraph"/>
        <w:spacing w:lineRule="auto" w:line="240" w:before="0" w:after="0"/>
        <w:contextualSpacing/>
        <w:jc w:val="both"/>
        <w:rPr>
          <w:color w:val="C00000"/>
          <w:szCs w:val="22"/>
        </w:rPr>
      </w:pPr>
      <w:r>
        <w:rPr>
          <w:color w:val="C00000"/>
          <w:szCs w:val="22"/>
        </w:rPr>
      </w:r>
    </w:p>
    <w:p>
      <w:pPr>
        <w:pStyle w:val="ListParagraph"/>
        <w:spacing w:lineRule="auto" w:line="240" w:before="0" w:after="0"/>
        <w:contextualSpacing/>
        <w:jc w:val="both"/>
        <w:rPr>
          <w:color w:val="C00000"/>
          <w:szCs w:val="22"/>
        </w:rPr>
      </w:pPr>
      <w:r>
        <w:rPr>
          <w:color w:val="C00000"/>
          <w:szCs w:val="22"/>
        </w:rPr>
      </w:r>
    </w:p>
    <w:p>
      <w:pPr>
        <w:pStyle w:val="Normal"/>
        <w:numPr>
          <w:ilvl w:val="0"/>
          <w:numId w:val="12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color w:val="C00000"/>
          <w:szCs w:val="22"/>
        </w:rPr>
      </w:pPr>
      <w:r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color w:val="C00000"/>
          <w:szCs w:val="22"/>
        </w:rPr>
        <w:t>: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ind w:left="1066" w:hanging="357"/>
        <w:contextualSpacing/>
        <w:jc w:val="both"/>
        <w:rPr>
          <w:color w:val="C00000"/>
          <w:szCs w:val="22"/>
        </w:rPr>
      </w:pPr>
      <w:r>
        <w:rPr>
          <w:color w:val="C0000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color w:val="C00000"/>
          <w:szCs w:val="22"/>
        </w:rPr>
      </w:pPr>
      <w:r>
        <w:rPr>
          <w:color w:val="C00000"/>
          <w:szCs w:val="22"/>
        </w:rPr>
        <w:t xml:space="preserve">pri dlhodobom finančnom majetku, ktorý sa vykazuje vo vyššej hodnote ako je jeho reálna hodnota, sa uvádza </w:t>
      </w:r>
    </w:p>
    <w:p>
      <w:pPr>
        <w:pStyle w:val="ListParagraph"/>
        <w:numPr>
          <w:ilvl w:val="0"/>
          <w:numId w:val="5"/>
        </w:numPr>
        <w:spacing w:lineRule="auto" w:line="240" w:before="0" w:after="0"/>
        <w:ind w:left="1418" w:hanging="284"/>
        <w:contextualSpacing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účtovná hodnota a reálna hodnota za jednotlivé položky majetku alebo skupiny týchto jednotlivých položiek majetku,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ind w:left="1418" w:hanging="284"/>
        <w:contextualSpacing/>
        <w:jc w:val="both"/>
        <w:rPr>
          <w:color w:val="C00000"/>
          <w:szCs w:val="22"/>
        </w:rPr>
      </w:pPr>
      <w:r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>
      <w:pPr>
        <w:pStyle w:val="Normal"/>
        <w:numPr>
          <w:ilvl w:val="0"/>
          <w:numId w:val="12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</w:rPr>
        <w:t>Stanovenie metódy vlastného imania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color w:val="C00000"/>
          <w:szCs w:val="22"/>
        </w:rPr>
      </w:pPr>
      <w:r>
        <w:rPr>
          <w:color w:val="C00000"/>
          <w:szCs w:val="22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szCs w:val="22"/>
          <w:u w:val="single"/>
        </w:rPr>
      </w:pPr>
      <w:r>
        <w:rPr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3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3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3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2"/>
        <w:gridCol w:w="1399"/>
      </w:tblGrid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3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4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4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8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4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3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1"/>
        <w:gridCol w:w="8"/>
        <w:gridCol w:w="1705"/>
        <w:gridCol w:w="276"/>
        <w:gridCol w:w="714"/>
        <w:gridCol w:w="986"/>
        <w:gridCol w:w="148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Úver – Slovenská sporiteľňa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bookmarkStart w:id="0" w:name="_GoBack"/>
            <w:bookmarkEnd w:id="0"/>
            <w:r>
              <w:rPr>
                <w:szCs w:val="22"/>
              </w:rPr>
              <w:t>5000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ČSOB Leasing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32036,44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3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7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3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3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/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5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5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5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5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3"/>
      <w:gridCol w:w="1701"/>
      <w:gridCol w:w="2410"/>
      <w:gridCol w:w="446"/>
      <w:gridCol w:w="2157"/>
    </w:tblGrid>
    <w:tr>
      <w:trPr>
        <w:trHeight w:val="326" w:hRule="atLeast"/>
      </w:trPr>
      <w:tc>
        <w:tcPr>
          <w:tcW w:w="22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IČO:46745947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DIČ:2023576115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/>
    </w:lvl>
  </w:abstractNum>
  <w:abstractNum w:abstractNumId="5"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7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8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11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12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4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Application>LibreOffice/7.4.0.3$Windows_X86_64 LibreOffice_project/f85e47c08ddd19c015c0114a68350214f7066f5a</Application>
  <AppVersion>15.0000</AppVersion>
  <Pages>6</Pages>
  <Words>1709</Words>
  <Characters>10221</Characters>
  <CharactersWithSpaces>11736</CharactersWithSpaces>
  <Paragraphs>208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2016-01-30T12:57:00Z</cp:lastPrinted>
  <dcterms:modified xsi:type="dcterms:W3CDTF">2023-04-28T19:17:43Z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